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3.png" ContentType="image/png"/>
  <Override PartName="/word/media/rId26.png" ContentType="image/png"/>
  <Override PartName="/word/media/rId42.png" ContentType="image/png"/>
  <Override PartName="/word/media/rId4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Revisão da metodologia de cálculo da população beneficiada nas operações de crédito com recursos do FGTS — Mobilidade Urbana</w:t>
      </w:r>
    </w:p>
    <w:p>
      <w:pPr>
        <w:pStyle w:val="Author"/>
      </w:pPr>
      <w:r>
        <w:t xml:space="preserve">CGDI/DEREG/SEMOB</w:t>
      </w:r>
    </w:p>
    <w:bookmarkStart w:id="65" w:name="nota-metodológica"/>
    <w:p>
      <w:pPr>
        <w:pStyle w:val="Heading2"/>
      </w:pPr>
      <w:r>
        <w:t xml:space="preserve">Nota metodológica</w:t>
      </w:r>
    </w:p>
    <w:bookmarkStart w:id="11" w:name="fundamento-normativo"/>
    <w:p>
      <w:pPr>
        <w:pStyle w:val="Heading3"/>
      </w:pPr>
      <w:r>
        <w:t xml:space="preserve">1. Fundamento normativo</w:t>
      </w:r>
    </w:p>
    <w:p>
      <w:pPr>
        <w:pStyle w:val="FirstParagraph"/>
      </w:pPr>
      <w:r>
        <w:t xml:space="preserve">A estimativa da população beneficiada por operações de crédito com recursos do FGTS decorre de obrigação normativa expressa.</w:t>
      </w:r>
    </w:p>
    <w:p>
      <w:pPr>
        <w:pStyle w:val="BodyText"/>
      </w:pPr>
      <w:r>
        <w:t xml:space="preserve">A</w:t>
      </w:r>
      <w:r>
        <w:t xml:space="preserve"> </w:t>
      </w:r>
      <w:r>
        <w:rPr>
          <w:b/>
          <w:bCs/>
        </w:rPr>
        <w:t xml:space="preserve">Lei nº 8.036, de 11 de maio de 1990</w:t>
      </w:r>
      <w:r>
        <w:t xml:space="preserve">, em seu art. 6º, inciso VII, atribui ao gestor da aplicação a competência de</w:t>
      </w:r>
      <w:r>
        <w:t xml:space="preserve"> </w:t>
      </w:r>
      <w:r>
        <w:t xml:space="preserve">“definir as metas a serem alcançadas nos programas de habitação popular, saneamento básico e infra-estrutura urbana”</w:t>
      </w:r>
      <w:r>
        <w:t xml:space="preserve">.</w:t>
      </w:r>
    </w:p>
    <w:p>
      <w:pPr>
        <w:pStyle w:val="BodyText"/>
      </w:pPr>
      <w:r>
        <w:t xml:space="preserve">A</w:t>
      </w:r>
      <w:r>
        <w:t xml:space="preserve"> </w:t>
      </w:r>
      <w:r>
        <w:rPr>
          <w:b/>
          <w:bCs/>
        </w:rPr>
        <w:t xml:space="preserve">Resolução nº 702, de 4 de outubro de 2012</w:t>
      </w:r>
      <w:r>
        <w:t xml:space="preserve">, em seu art. 2º, inciso XVII, define o Orçamento Operacional como</w:t>
      </w:r>
      <w:r>
        <w:t xml:space="preserve"> </w:t>
      </w:r>
      <w:r>
        <w:t xml:space="preserve">“orçamento composto pelo Plano de Contratações e Metas Físicas, contendo os recursos para contratação de todos os Programas de Aplicação (…), bem como a geração de empregos e a</w:t>
      </w:r>
      <w:r>
        <w:t xml:space="preserve"> </w:t>
      </w:r>
      <w:r>
        <w:rPr>
          <w:b/>
          <w:bCs/>
        </w:rPr>
        <w:t xml:space="preserve">população beneficiada</w:t>
      </w:r>
      <w:r>
        <w:t xml:space="preserve"> </w:t>
      </w:r>
      <w:r>
        <w:t xml:space="preserve">em nível nacional”</w:t>
      </w:r>
      <w:r>
        <w:t xml:space="preserve">.</w:t>
      </w:r>
    </w:p>
    <w:p>
      <w:pPr>
        <w:pStyle w:val="BodyText"/>
      </w:pPr>
      <w:r>
        <w:t xml:space="preserve">Assim, a presente metodologia visa atender à necessidade de estimar, de forma parametrizada e consistente, a população beneficiada pelos empreendimentos de mobilidade urbana financiados com recursos do FGTS, conforme exigido pelo arcabouço normativo vigente.</w:t>
      </w:r>
    </w:p>
    <w:p>
      <w:pPr>
        <w:pStyle w:val="BodyText"/>
      </w:pPr>
      <w:r>
        <w:t xml:space="preserve">Como referência técnica complementar para custos médios e caracterização de tipologias de mobilidade urbana, foi considerado o</w:t>
      </w:r>
      <w:r>
        <w:t xml:space="preserve"> </w:t>
      </w:r>
      <w:r>
        <w:rPr>
          <w:b/>
          <w:bCs/>
        </w:rPr>
        <w:t xml:space="preserve">Estudo Nacional de Mobilidade Urbana (ENMU)</w:t>
      </w:r>
      <w:r>
        <w:t xml:space="preserve">, iniciativa do BNDES em parceria com o Ministério das Cidades, especialmente os resultados parciais, relatórios de diagnóstico, levantamento de planos de investimento e demais entregas públicas do projeto.</w:t>
      </w:r>
      <w:r>
        <w:rPr>
          <w:rStyle w:val="FootnoteReference"/>
        </w:rPr>
        <w:footnoteReference w:id="9"/>
      </w:r>
    </w:p>
    <w:bookmarkEnd w:id="11"/>
    <w:bookmarkStart w:id="16" w:name="objetivo"/>
    <w:p>
      <w:pPr>
        <w:pStyle w:val="Heading3"/>
      </w:pPr>
      <w:r>
        <w:t xml:space="preserve">2. Objetivo</w:t>
      </w:r>
    </w:p>
    <w:p>
      <w:pPr>
        <w:pStyle w:val="FirstParagraph"/>
      </w:pPr>
      <w:r>
        <w:t xml:space="preserve">Estabelecer uma metodologia parametrizada para estimar o número de pessoas beneficiadas por empreendimentos de mobilidade urbana financiados pelo Ministério das Cidades (MCID), a partir das informações usualmente disponíveis na carteira de investimentos, especialmente:</w:t>
      </w:r>
    </w:p>
    <w:p>
      <w:pPr>
        <w:pStyle w:val="Compact"/>
        <w:numPr>
          <w:ilvl w:val="0"/>
          <w:numId w:val="1001"/>
        </w:numPr>
      </w:pPr>
      <w:r>
        <w:t xml:space="preserve">tipologia do empreendimento;</w:t>
      </w:r>
    </w:p>
    <w:p>
      <w:pPr>
        <w:pStyle w:val="Compact"/>
        <w:numPr>
          <w:ilvl w:val="0"/>
          <w:numId w:val="1001"/>
        </w:numPr>
      </w:pPr>
      <w:r>
        <w:t xml:space="preserve">extensão da intervenção, em quilômetros;</w:t>
      </w:r>
    </w:p>
    <w:p>
      <w:pPr>
        <w:pStyle w:val="Compact"/>
        <w:numPr>
          <w:ilvl w:val="0"/>
          <w:numId w:val="1001"/>
        </w:numPr>
      </w:pPr>
      <w:r>
        <w:t xml:space="preserve">densidade média do município;</w:t>
      </w:r>
    </w:p>
    <w:p>
      <w:pPr>
        <w:pStyle w:val="Compact"/>
        <w:numPr>
          <w:ilvl w:val="0"/>
          <w:numId w:val="1001"/>
        </w:numPr>
      </w:pPr>
      <w:r>
        <w:t xml:space="preserve">complexidade relativa do investimento; e</w:t>
      </w:r>
    </w:p>
    <w:p>
      <w:pPr>
        <w:pStyle w:val="Compact"/>
        <w:numPr>
          <w:ilvl w:val="0"/>
          <w:numId w:val="1001"/>
        </w:numPr>
      </w:pPr>
      <w:r>
        <w:t xml:space="preserve">valor de investimento</w:t>
      </w:r>
      <w:r>
        <w:rPr>
          <w:rStyle w:val="FootnoteReference"/>
        </w:rPr>
        <w:footnoteReference w:id="12"/>
      </w:r>
      <w:r>
        <w:t xml:space="preserve">.</w:t>
      </w:r>
    </w:p>
    <w:p>
      <w:pPr>
        <w:pStyle w:val="FirstParagraph"/>
      </w:pPr>
      <w:r>
        <w:t xml:space="preserve">A metodologia foi concebida para permitir sua aplicação em larga escala, inclusive em contextos nos quais não estejam disponíveis, de forma sistemática e abrangente, estudos de demanda, dados operacionais, contagens de passageiros ou bases georreferenciadas detalhadas. Ainda que parte dos empreendimentos disponha de estudos e informações mais robustas, a metodologia tem por finalidade produzir uma estimativa parametrizada e comparável da população potencialmente beneficiada pelas intervenções apoiadas com recursos federais.</w:t>
      </w:r>
    </w:p>
    <w:tbl>
      <w:tblPr>
        <w:tblStyle w:val="Table"/>
        <w:tblInd w:w="164" w:type="dxa"/>
        <w:tblBorders>
          <w:left w:val="single" w:sz="24" w:space="0" w:color="CC1914"/>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14" name="Picture"/>
                  <a:graphic>
                    <a:graphicData uri="http://schemas.openxmlformats.org/drawingml/2006/picture">
                      <pic:pic>
                        <pic:nvPicPr>
                          <pic:cNvPr descr="/opt/quarto/share/formats/docx/important.png" id="15" name="Picture"/>
                          <pic:cNvPicPr>
                            <a:picLocks noChangeArrowheads="1" noChangeAspect="1"/>
                          </pic:cNvPicPr>
                        </pic:nvPicPr>
                        <pic:blipFill>
                          <a:blip r:embed="rId13"/>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A presente metodologia não tem a pretensão de substituir estimativas oriundas de estudos específicos de demanda desenvolvidos para cada empreendimento. Seu objetivo é oferecer uma estimativa parametrizada e tecnicamente fundamentada da população potencialmente beneficiada, aplicável de forma sistemática ao conjunto da carteira, especialmente nos casos em que tais estudos não estejam disponíveis. Ao incorporar fatores como extensão da obra, densidade demográfica, tipologia da intervenção e intensidade do investimento, busca-se uma aproximação mais aderente à realidade do que o critério exclusivamente financeiro atualmente vigente.</w:t>
            </w:r>
          </w:p>
        </w:tc>
      </w:tr>
    </w:tbl>
    <w:p>
      <w:pPr>
        <w:pStyle w:val="BodyText"/>
      </w:pPr>
      <w:r>
        <w:t xml:space="preserve">Para fins desta metodologia, adota-se como referência a estimativa de</w:t>
      </w:r>
      <w:r>
        <w:t xml:space="preserve"> </w:t>
      </w:r>
      <w:r>
        <w:rPr>
          <w:b/>
          <w:bCs/>
        </w:rPr>
        <w:t xml:space="preserve">pessoas potencialmente beneficiadas</w:t>
      </w:r>
      <w:r>
        <w:t xml:space="preserve">, em razão da indisponibilidade de dados de demanda observada ou projetada. O novo cálculo não pretende reproduzir a demanda real, mas oferecer uma medida parametrizada e comparável do alcance potencial de cada intervenção.</w:t>
      </w:r>
    </w:p>
    <w:bookmarkEnd w:id="16"/>
    <w:bookmarkStart w:id="17" w:name="critério-atualmente-utilizado"/>
    <w:p>
      <w:pPr>
        <w:pStyle w:val="Heading3"/>
      </w:pPr>
      <w:r>
        <w:t xml:space="preserve">3. Critério atualmente utilizado</w:t>
      </w:r>
    </w:p>
    <w:p>
      <w:pPr>
        <w:pStyle w:val="FirstParagraph"/>
      </w:pPr>
      <w:r>
        <w:t xml:space="preserve">A fórmula atualmente utilizada constitui um critério simplificado de estimativa da população beneficiada, baseado exclusivamente no valor do investimento. Sua principal vantagem reside na facilidade de aplicação operacional, uma vez que demanda apenas a informação do montante investido.</w:t>
      </w:r>
    </w:p>
    <w:p>
      <w:pPr>
        <w:pStyle w:val="BodyText"/>
      </w:pPr>
      <w:r>
        <w:t xml:space="preserve">Trata-se de abordagem útil em contextos de escassez de informações, especialmente quando não se dispõe de dados físicos, territoriais ou operacionais mais detalhados sobre os empreendimentos. Não obstante, por fundamentar-se exclusivamente na variável financeira, essa fórmula não diferencia adequadamente intervenções de naturezas distintas, tampouco incorpora aspectos relevantes como tipologia do empreendimento, extensão física da obra, densidade urbana do município e complexidade relativa do investimento.</w:t>
      </w:r>
    </w:p>
    <w:p>
      <w:pPr>
        <w:pStyle w:val="BodyText"/>
      </w:pPr>
      <w:r>
        <w:t xml:space="preserve">Como consequência, empreendimentos substancialmente distintos podem resultar em estimativas semelhantes sempre que apresentem valores de investimento próximos, o que reduz a aderência da estimativa às características concretas de cada projeto.</w:t>
      </w:r>
    </w:p>
    <w:p>
      <w:pPr>
        <w:pStyle w:val="BodyText"/>
      </w:pPr>
      <w:r>
        <w:t xml:space="preserve">Nesse contexto, a presente proposta metodológica busca aperfeiçoar o critério atualmente utilizado, incorporando variáveis físicas, territoriais e tipológicas capazes de qualificar a estimativa da população potencialmente beneficiada.</w:t>
      </w:r>
    </w:p>
    <w:p>
      <w:pPr>
        <w:pStyle w:val="BodyText"/>
      </w:pPr>
      <w:r>
        <w:t xml:space="preserve">A fórmula atualmente utilizada é expressa da seguinte forma:</w:t>
      </w:r>
    </w:p>
    <w:p>
      <w:pPr>
        <w:pStyle w:val="BodyText"/>
      </w:pPr>
      <m:oMathPara>
        <m:oMathParaPr>
          <m:jc m:val="center"/>
        </m:oMathParaPr>
        <m:oMath>
          <m:r>
            <m:t>P</m:t>
          </m:r>
          <m:r>
            <m:t>B</m:t>
          </m:r>
          <m:r>
            <m:rPr>
              <m:sty m:val="p"/>
            </m:rPr>
            <m:t>=</m:t>
          </m:r>
          <m:d>
            <m:dPr>
              <m:begChr m:val="("/>
              <m:sepChr m:val=""/>
              <m:endChr m:val=")"/>
              <m:grow/>
            </m:dPr>
            <m:e>
              <m:f>
                <m:fPr>
                  <m:type m:val="bar"/>
                </m:fPr>
                <m:num>
                  <m:r>
                    <m:t>V</m:t>
                  </m:r>
                  <m:r>
                    <m:t>a</m:t>
                  </m:r>
                  <m:r>
                    <m:t>l</m:t>
                  </m:r>
                  <m:r>
                    <m:t>o</m:t>
                  </m:r>
                  <m:r>
                    <m:t>r</m:t>
                  </m:r>
                  <m:r>
                    <m:t> </m:t>
                  </m:r>
                  <m:r>
                    <m:t>d</m:t>
                  </m:r>
                  <m:r>
                    <m:t>o</m:t>
                  </m:r>
                  <m:r>
                    <m:t> </m:t>
                  </m:r>
                  <m:r>
                    <m:t>i</m:t>
                  </m:r>
                  <m:r>
                    <m:t>n</m:t>
                  </m:r>
                  <m:r>
                    <m:t>v</m:t>
                  </m:r>
                  <m:r>
                    <m:t>e</m:t>
                  </m:r>
                  <m:r>
                    <m:t>s</m:t>
                  </m:r>
                  <m:r>
                    <m:t>t</m:t>
                  </m:r>
                  <m:r>
                    <m:t>i</m:t>
                  </m:r>
                  <m:r>
                    <m:t>m</m:t>
                  </m:r>
                  <m:r>
                    <m:t>e</m:t>
                  </m:r>
                  <m:r>
                    <m:t>n</m:t>
                  </m:r>
                  <m:r>
                    <m:t>t</m:t>
                  </m:r>
                  <m:r>
                    <m:t>o</m:t>
                  </m:r>
                </m:num>
                <m:den>
                  <m:r>
                    <m:t>2</m:t>
                  </m:r>
                  <m:r>
                    <m:rPr>
                      <m:sty m:val="p"/>
                    </m:rPr>
                    <m:t>.</m:t>
                  </m:r>
                  <m:r>
                    <m:t>500</m:t>
                  </m:r>
                </m:den>
              </m:f>
            </m:e>
          </m:d>
          <m:r>
            <m:rPr>
              <m:sty m:val="p"/>
            </m:rPr>
            <m:t>×</m:t>
          </m:r>
          <m:r>
            <m:t>2</m:t>
          </m:r>
          <m:r>
            <m:rPr>
              <m:sty m:val="p"/>
            </m:rPr>
            <m:t>,</m:t>
          </m:r>
          <m:r>
            <m:t>96</m:t>
          </m:r>
        </m:oMath>
      </m:oMathPara>
    </w:p>
    <w:bookmarkEnd w:id="17"/>
    <w:bookmarkStart w:id="18" w:name="X0d7d6f028a55923f4c37bec253c24263862fe70"/>
    <w:p>
      <w:pPr>
        <w:pStyle w:val="Heading3"/>
      </w:pPr>
      <w:r>
        <w:t xml:space="preserve">4. Por que a mobilidade urbana exige uma abordagem diferente</w:t>
      </w:r>
    </w:p>
    <w:p>
      <w:pPr>
        <w:pStyle w:val="FirstParagraph"/>
      </w:pPr>
      <w:r>
        <w:t xml:space="preserve">Enquanto outros programas do FGTS — como habitação e saneamento — contam com métricas de benefício direto e estático, a mobilidade urbana apresenta características que inviabilizam esse tipo de mensuração simples.</w:t>
      </w:r>
    </w:p>
    <w:p>
      <w:pPr>
        <w:pStyle w:val="BodyText"/>
      </w:pPr>
      <w:r>
        <w:t xml:space="preserve">Na</w:t>
      </w:r>
      <w:r>
        <w:t xml:space="preserve"> </w:t>
      </w:r>
      <w:r>
        <w:rPr>
          <w:b/>
          <w:bCs/>
        </w:rPr>
        <w:t xml:space="preserve">habitação</w:t>
      </w:r>
      <w:r>
        <w:t xml:space="preserve">, o nexo é direto: uma casa entregue corresponde a uma família beneficiada. No</w:t>
      </w:r>
      <w:r>
        <w:t xml:space="preserve"> </w:t>
      </w:r>
      <w:r>
        <w:rPr>
          <w:b/>
          <w:bCs/>
        </w:rPr>
        <w:t xml:space="preserve">saneamento</w:t>
      </w:r>
      <w:r>
        <w:t xml:space="preserve">, uma ligação efetuada corresponde a um domicílio atendido. Em ambos os casos, o benefício é pontual, localizável e contável por unidade.</w:t>
      </w:r>
    </w:p>
    <w:p>
      <w:pPr>
        <w:pStyle w:val="BodyText"/>
      </w:pPr>
      <w:r>
        <w:t xml:space="preserve">Na</w:t>
      </w:r>
      <w:r>
        <w:t xml:space="preserve"> </w:t>
      </w:r>
      <w:r>
        <w:rPr>
          <w:b/>
          <w:bCs/>
        </w:rPr>
        <w:t xml:space="preserve">mobilidade urbana</w:t>
      </w:r>
      <w:r>
        <w:t xml:space="preserve">, o benefício é de natureza fundamentalmente distinta:</w:t>
      </w:r>
    </w:p>
    <w:p>
      <w:pPr>
        <w:pStyle w:val="Compact"/>
        <w:numPr>
          <w:ilvl w:val="0"/>
          <w:numId w:val="1002"/>
        </w:numPr>
      </w:pPr>
      <w:r>
        <w:t xml:space="preserve">é</w:t>
      </w:r>
      <w:r>
        <w:t xml:space="preserve"> </w:t>
      </w:r>
      <w:r>
        <w:rPr>
          <w:b/>
          <w:bCs/>
        </w:rPr>
        <w:t xml:space="preserve">sistêmico</w:t>
      </w:r>
      <w:r>
        <w:t xml:space="preserve">: não se localiza em um ponto, mas se distribui ao longo de uma rede;</w:t>
      </w:r>
    </w:p>
    <w:p>
      <w:pPr>
        <w:pStyle w:val="Compact"/>
        <w:numPr>
          <w:ilvl w:val="0"/>
          <w:numId w:val="1002"/>
        </w:numPr>
      </w:pPr>
      <w:r>
        <w:t xml:space="preserve">é</w:t>
      </w:r>
      <w:r>
        <w:t xml:space="preserve"> </w:t>
      </w:r>
      <w:r>
        <w:rPr>
          <w:b/>
          <w:bCs/>
        </w:rPr>
        <w:t xml:space="preserve">dinâmico</w:t>
      </w:r>
      <w:r>
        <w:t xml:space="preserve">: decorre do deslocamento, não da infraestrutura em si;</w:t>
      </w:r>
    </w:p>
    <w:p>
      <w:pPr>
        <w:pStyle w:val="Compact"/>
        <w:numPr>
          <w:ilvl w:val="0"/>
          <w:numId w:val="1002"/>
        </w:numPr>
      </w:pPr>
      <w:r>
        <w:t xml:space="preserve">depende do</w:t>
      </w:r>
      <w:r>
        <w:t xml:space="preserve"> </w:t>
      </w:r>
      <w:r>
        <w:rPr>
          <w:b/>
          <w:bCs/>
        </w:rPr>
        <w:t xml:space="preserve">entorno</w:t>
      </w:r>
      <w:r>
        <w:t xml:space="preserve">: a mesma obra produz efeitos diferentes conforme a densidade urbana, a tipologia da intervenção e a extensão do corredor; e</w:t>
      </w:r>
    </w:p>
    <w:p>
      <w:pPr>
        <w:pStyle w:val="Compact"/>
        <w:numPr>
          <w:ilvl w:val="0"/>
          <w:numId w:val="1002"/>
        </w:numPr>
      </w:pPr>
      <w:r>
        <w:t xml:space="preserve">é</w:t>
      </w:r>
      <w:r>
        <w:t xml:space="preserve"> </w:t>
      </w:r>
      <w:r>
        <w:rPr>
          <w:b/>
          <w:bCs/>
        </w:rPr>
        <w:t xml:space="preserve">multimodal</w:t>
      </w:r>
      <w:r>
        <w:t xml:space="preserve">: diferentes tipologias (metrô, BRT, ciclovia, calçada) produzem benefícios de naturezas e alcances distintos.</w:t>
      </w:r>
    </w:p>
    <w:p>
      <w:pPr>
        <w:pStyle w:val="FirstParagraph"/>
      </w:pPr>
      <w:r>
        <w:t xml:space="preserve">Essas características tornam inadequada a simples conversão de valor investido em número de beneficiários — abordagem que ignora as dimensões territoriais, tipológicas e operacionais que determinam o alcance efetivo de cada intervenção. É essa complexidade que justifica a adoção de uma metodologia paramétrica capaz de incorporar múltiplas variáveis na estimativa da população potencialmente beneficiada.</w:t>
      </w:r>
    </w:p>
    <w:bookmarkEnd w:id="18"/>
    <w:bookmarkStart w:id="22" w:name="hierarquia-de-aplicação-da-metodologia"/>
    <w:p>
      <w:pPr>
        <w:pStyle w:val="Heading3"/>
      </w:pPr>
      <w:r>
        <w:t xml:space="preserve">5. Hierarquia de aplicação da metodologia</w:t>
      </w:r>
    </w:p>
    <w:p>
      <w:pPr>
        <w:pStyle w:val="FirstParagraph"/>
      </w:pPr>
      <w:r>
        <w:t xml:space="preserve">A presente metodologia foi desenvolvida para viabilizar a estimativa parametrizada da população beneficiada em contextos de ausência ou limitada disponibilidade de dados mais precisos. Assim, sua aplicação é recomendada sempre que não houver informações suficientes para mensuração direta ou mais refinada dos beneficiários.</w:t>
      </w:r>
    </w:p>
    <w:p>
      <w:pPr>
        <w:pStyle w:val="BodyText"/>
      </w:pPr>
      <w:r>
        <w:t xml:space="preserve">Não obstante, caso existam dados técnicos mais consistentes para determinado empreendimento, estes deverão prevalecer sobre a metodologia paramétrica aqui proposta, observada a seguinte ordem de prioridade:</w:t>
      </w:r>
    </w:p>
    <w:bookmarkStart w:id="19" w:name="nível-1.-dados-de-demanda"/>
    <w:p>
      <w:pPr>
        <w:pStyle w:val="Heading4"/>
      </w:pPr>
      <w:r>
        <w:t xml:space="preserve">Nível 1. Dados de demanda</w:t>
      </w:r>
    </w:p>
    <w:p>
      <w:pPr>
        <w:pStyle w:val="FirstParagraph"/>
      </w:pPr>
      <w:r>
        <w:t xml:space="preserve">Quando houver estudos de demanda, contagens operacionais ou projeções tecnicamente consistentes, essas informações deverão prevalecer sobre a metodologia paramétrica.</w:t>
      </w:r>
    </w:p>
    <w:bookmarkEnd w:id="19"/>
    <w:bookmarkStart w:id="20" w:name="nível-2.-dados-georreferenciados"/>
    <w:p>
      <w:pPr>
        <w:pStyle w:val="Heading4"/>
      </w:pPr>
      <w:r>
        <w:t xml:space="preserve">Nível 2. Dados georreferenciados</w:t>
      </w:r>
    </w:p>
    <w:p>
      <w:pPr>
        <w:pStyle w:val="FirstParagraph"/>
      </w:pPr>
      <w:r>
        <w:t xml:space="preserve">Quando houver traçado georreferenciado, estações, áreas de influência delimitadas ou bases espaciais que permitam estimar com maior precisão a população efetivamente atendida, tais informações deverão ser utilizadas preferencialmente.</w:t>
      </w:r>
    </w:p>
    <w:bookmarkEnd w:id="20"/>
    <w:bookmarkStart w:id="21" w:name="nível-3.-fórmula-paramétrica"/>
    <w:p>
      <w:pPr>
        <w:pStyle w:val="Heading4"/>
      </w:pPr>
      <w:r>
        <w:t xml:space="preserve">Nível 3. Fórmula paramétrica</w:t>
      </w:r>
    </w:p>
    <w:p>
      <w:pPr>
        <w:pStyle w:val="FirstParagraph"/>
      </w:pPr>
      <w:r>
        <w:t xml:space="preserve">Na ausência das informações anteriores, deverá ser aplicada a presente metodologia, com uso dos parâmetros definidos neste documento.</w:t>
      </w:r>
    </w:p>
    <w:bookmarkEnd w:id="21"/>
    <w:bookmarkEnd w:id="22"/>
    <w:bookmarkStart w:id="25" w:name="Xf011150b00ef377b9c7ef21a95b624172d42b94"/>
    <w:p>
      <w:pPr>
        <w:pStyle w:val="Heading3"/>
      </w:pPr>
      <w:r>
        <w:t xml:space="preserve">6. Tipos de empreendimentos em mobilidade urbana (tipologia)</w:t>
      </w:r>
    </w:p>
    <w:p>
      <w:pPr>
        <w:pStyle w:val="FirstParagraph"/>
      </w:pPr>
      <w:r>
        <w:t xml:space="preserve">A metodologia aplica-se aos seguintes grupos de empreendimentos, organizados conforme a natureza física e operacional da intervenção.</w:t>
      </w:r>
    </w:p>
    <w:bookmarkStart w:id="23" w:name="obras-lineares"/>
    <w:p>
      <w:pPr>
        <w:pStyle w:val="Heading4"/>
      </w:pPr>
      <w:r>
        <w:t xml:space="preserve">6.1 Obras lineares</w:t>
      </w:r>
    </w:p>
    <w:p>
      <w:pPr>
        <w:pStyle w:val="FirstParagraph"/>
      </w:pPr>
      <w:r>
        <w:t xml:space="preserve">Incluem-se neste grupo empreendimentos cuja lógica de implantação se desenvolve ao longo de um eixo territorial. Nessa categoria enquadram-se:</w:t>
      </w:r>
    </w:p>
    <w:p>
      <w:pPr>
        <w:pStyle w:val="Compact"/>
        <w:numPr>
          <w:ilvl w:val="0"/>
          <w:numId w:val="1003"/>
        </w:numPr>
      </w:pPr>
      <w:r>
        <w:t xml:space="preserve">metrô;</w:t>
      </w:r>
    </w:p>
    <w:p>
      <w:pPr>
        <w:pStyle w:val="Compact"/>
        <w:numPr>
          <w:ilvl w:val="0"/>
          <w:numId w:val="1003"/>
        </w:numPr>
      </w:pPr>
      <w:r>
        <w:t xml:space="preserve">trem urbano;</w:t>
      </w:r>
    </w:p>
    <w:p>
      <w:pPr>
        <w:pStyle w:val="Compact"/>
        <w:numPr>
          <w:ilvl w:val="0"/>
          <w:numId w:val="1003"/>
        </w:numPr>
      </w:pPr>
      <w:r>
        <w:t xml:space="preserve">VLT;</w:t>
      </w:r>
    </w:p>
    <w:p>
      <w:pPr>
        <w:pStyle w:val="Compact"/>
        <w:numPr>
          <w:ilvl w:val="0"/>
          <w:numId w:val="1003"/>
        </w:numPr>
      </w:pPr>
      <w:r>
        <w:t xml:space="preserve">BRT;</w:t>
      </w:r>
    </w:p>
    <w:p>
      <w:pPr>
        <w:pStyle w:val="Compact"/>
        <w:numPr>
          <w:ilvl w:val="0"/>
          <w:numId w:val="1003"/>
        </w:numPr>
      </w:pPr>
      <w:r>
        <w:t xml:space="preserve">corredores de ônibus;</w:t>
      </w:r>
    </w:p>
    <w:p>
      <w:pPr>
        <w:pStyle w:val="Compact"/>
        <w:numPr>
          <w:ilvl w:val="0"/>
          <w:numId w:val="1003"/>
        </w:numPr>
      </w:pPr>
      <w:r>
        <w:t xml:space="preserve">qualificação viária;</w:t>
      </w:r>
    </w:p>
    <w:p>
      <w:pPr>
        <w:pStyle w:val="Compact"/>
        <w:numPr>
          <w:ilvl w:val="0"/>
          <w:numId w:val="1003"/>
        </w:numPr>
      </w:pPr>
      <w:r>
        <w:t xml:space="preserve">ciclovias;</w:t>
      </w:r>
    </w:p>
    <w:p>
      <w:pPr>
        <w:pStyle w:val="Compact"/>
        <w:numPr>
          <w:ilvl w:val="0"/>
          <w:numId w:val="1003"/>
        </w:numPr>
      </w:pPr>
      <w:r>
        <w:t xml:space="preserve">ciclofaixas; e</w:t>
      </w:r>
    </w:p>
    <w:p>
      <w:pPr>
        <w:pStyle w:val="Compact"/>
        <w:numPr>
          <w:ilvl w:val="0"/>
          <w:numId w:val="1003"/>
        </w:numPr>
      </w:pPr>
      <w:r>
        <w:t xml:space="preserve">calçadas.</w:t>
      </w:r>
    </w:p>
    <w:p>
      <w:pPr>
        <w:pStyle w:val="FirstParagraph"/>
      </w:pPr>
      <w:r>
        <w:t xml:space="preserve">Essas intervenções têm em comum o fato de produzirem benefícios ao longo de uma extensão física definida, razão pela qual a metodologia considera tanto o comprimento da obra quanto a sua faixa média de influência territorial.</w:t>
      </w:r>
    </w:p>
    <w:bookmarkEnd w:id="23"/>
    <w:bookmarkStart w:id="24" w:name="aquisição-de-frota-e-material-rodante"/>
    <w:p>
      <w:pPr>
        <w:pStyle w:val="Heading4"/>
      </w:pPr>
      <w:r>
        <w:t xml:space="preserve">6.2 Aquisição de frota e material rodante</w:t>
      </w:r>
    </w:p>
    <w:p>
      <w:pPr>
        <w:pStyle w:val="FirstParagraph"/>
      </w:pPr>
      <w:r>
        <w:t xml:space="preserve">Incluem-se neste grupo empreendimentos cujo benefício não decorre diretamente da implantação de infraestrutura linear, mas da disponibilização de veículos ou composições para operação do sistema, como:</w:t>
      </w:r>
    </w:p>
    <w:p>
      <w:pPr>
        <w:pStyle w:val="Compact"/>
        <w:numPr>
          <w:ilvl w:val="0"/>
          <w:numId w:val="1004"/>
        </w:numPr>
      </w:pPr>
      <w:r>
        <w:t xml:space="preserve">ônibus;</w:t>
      </w:r>
    </w:p>
    <w:p>
      <w:pPr>
        <w:pStyle w:val="Compact"/>
        <w:numPr>
          <w:ilvl w:val="0"/>
          <w:numId w:val="1004"/>
        </w:numPr>
      </w:pPr>
      <w:r>
        <w:t xml:space="preserve">trens; e</w:t>
      </w:r>
    </w:p>
    <w:p>
      <w:pPr>
        <w:pStyle w:val="Compact"/>
        <w:numPr>
          <w:ilvl w:val="0"/>
          <w:numId w:val="1004"/>
        </w:numPr>
      </w:pPr>
      <w:r>
        <w:t xml:space="preserve">composições de VLT.</w:t>
      </w:r>
    </w:p>
    <w:p>
      <w:pPr>
        <w:pStyle w:val="FirstParagraph"/>
      </w:pPr>
      <w:r>
        <w:t xml:space="preserve">Nesses casos, não há quilometragem de obra a ser considerada. Por isso, a estimativa é realizada com base no investimento total, no custo médio unitário e no número médio de beneficiários por unidade adquirida.</w:t>
      </w:r>
    </w:p>
    <w:bookmarkEnd w:id="24"/>
    <w:bookmarkEnd w:id="25"/>
    <w:bookmarkStart w:id="32" w:name="estrutura-geral-da-metodologia"/>
    <w:p>
      <w:pPr>
        <w:pStyle w:val="Heading3"/>
      </w:pPr>
      <w:r>
        <w:t xml:space="preserve">7. Estrutura geral da metodologia</w:t>
      </w:r>
    </w:p>
    <w:p>
      <w:pPr>
        <w:pStyle w:val="FirstParagraph"/>
      </w:pPr>
      <w:r>
        <w:t xml:space="preserve">A metodologia está organizada em duas fórmulas principais, conforme a natureza do empreendimento.</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7" name="Picture"/>
                  <a:graphic>
                    <a:graphicData uri="http://schemas.openxmlformats.org/drawingml/2006/picture">
                      <pic:pic>
                        <pic:nvPicPr>
                          <pic:cNvPr descr="/opt/quarto/share/formats/docx/note.png" id="28"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Fórmula para obras lineares</w:t>
            </w:r>
          </w:p>
          <w:p>
            <w:pPr>
              <w:pStyle w:val="BodyText"/>
            </w:pPr>
            <w:pPr>
              <w:spacing w:before="16"/>
            </w:pPr>
          </w:p>
          <w:p>
            <w:pPr>
              <w:pStyle w:val="BodyText"/>
            </w:pPr>
            <m:oMathPara>
              <m:oMathParaPr>
                <m:jc m:val="center"/>
              </m:oMathParaPr>
              <m:oMath>
                <m:r>
                  <m:t>P</m:t>
                </m:r>
                <m:sSub>
                  <m:e>
                    <m:r>
                      <m:t>B</m:t>
                    </m:r>
                  </m:e>
                  <m:sub>
                    <m:r>
                      <m:t>m</m:t>
                    </m:r>
                    <m:r>
                      <m:t>o</m:t>
                    </m:r>
                    <m:r>
                      <m:t>b</m:t>
                    </m:r>
                  </m:sub>
                </m:sSub>
                <m:r>
                  <m:t> </m:t>
                </m:r>
                <m:r>
                  <m:rPr>
                    <m:sty m:val="p"/>
                  </m:rPr>
                  <m:t>(</m:t>
                </m:r>
                <m:r>
                  <m:rPr>
                    <m:nor/>
                    <m:sty m:val="p"/>
                  </m:rPr>
                  <m:t>pessoas</m:t>
                </m:r>
                <m:r>
                  <m:rPr>
                    <m:sty m:val="p"/>
                  </m:rPr>
                  <m:t>)</m:t>
                </m:r>
                <m:r>
                  <m:rPr>
                    <m:sty m:val="p"/>
                  </m:rPr>
                  <m:t>=</m:t>
                </m:r>
                <m:r>
                  <m:t>K</m:t>
                </m:r>
                <m:r>
                  <m:t>M</m:t>
                </m:r>
                <m:r>
                  <m:t> </m:t>
                </m:r>
                <m:r>
                  <m:rPr>
                    <m:sty m:val="p"/>
                  </m:rPr>
                  <m:t>(</m:t>
                </m:r>
                <m:r>
                  <m:rPr>
                    <m:nor/>
                    <m:sty m:val="p"/>
                  </m:rPr>
                  <m:t>km</m:t>
                </m:r>
                <m:r>
                  <m:rPr>
                    <m:sty m:val="p"/>
                  </m:rPr>
                  <m:t>)</m:t>
                </m:r>
                <m:r>
                  <m:rPr>
                    <m:sty m:val="p"/>
                  </m:rPr>
                  <m:t>×</m:t>
                </m:r>
                <m:r>
                  <m:t>F</m:t>
                </m:r>
                <m:r>
                  <m:t>I</m:t>
                </m:r>
                <m:r>
                  <m:t> </m:t>
                </m:r>
                <m:r>
                  <m:rPr>
                    <m:sty m:val="p"/>
                  </m:rPr>
                  <m:t>(</m:t>
                </m:r>
                <m:r>
                  <m:rPr>
                    <m:nor/>
                    <m:sty m:val="p"/>
                  </m:rPr>
                  <m:t>km</m:t>
                </m:r>
                <m:r>
                  <m:rPr>
                    <m:sty m:val="p"/>
                  </m:rPr>
                  <m:t>)</m:t>
                </m:r>
                <m:r>
                  <m:rPr>
                    <m:sty m:val="p"/>
                  </m:rPr>
                  <m:t>×</m:t>
                </m:r>
                <m:r>
                  <m:t>D</m:t>
                </m:r>
                <m:r>
                  <m:t>M</m:t>
                </m:r>
                <m:r>
                  <m:t> </m:t>
                </m:r>
                <m:r>
                  <m:rPr>
                    <m:sty m:val="p"/>
                  </m:rPr>
                  <m:t>(</m:t>
                </m:r>
                <m:sSup>
                  <m:e>
                    <m:r>
                      <m:rPr>
                        <m:nor/>
                        <m:sty m:val="p"/>
                      </m:rPr>
                      <m:t>hab/km</m:t>
                    </m:r>
                  </m:e>
                  <m:sup>
                    <m:r>
                      <m:t>2</m:t>
                    </m:r>
                  </m:sup>
                </m:sSup>
                <m:r>
                  <m:rPr>
                    <m:sty m:val="p"/>
                  </m:rPr>
                  <m:t>)</m:t>
                </m:r>
                <m:r>
                  <m:rPr>
                    <m:sty m:val="p"/>
                  </m:rPr>
                  <m:t>×</m:t>
                </m:r>
                <m:r>
                  <m:t>F</m:t>
                </m:r>
                <m:r>
                  <m:t>T</m:t>
                </m:r>
                <m:r>
                  <m:t> </m:t>
                </m:r>
                <m:r>
                  <m:rPr>
                    <m:sty m:val="p"/>
                  </m:rPr>
                  <m:t>(</m:t>
                </m:r>
                <m:r>
                  <m:rPr>
                    <m:sty m:val="p"/>
                  </m:rPr>
                  <m:t>−</m:t>
                </m:r>
                <m:r>
                  <m:rPr>
                    <m:sty m:val="p"/>
                  </m:rPr>
                  <m:t>)</m:t>
                </m:r>
                <m:r>
                  <m:rPr>
                    <m:sty m:val="p"/>
                  </m:rPr>
                  <m:t>×</m:t>
                </m:r>
                <m:r>
                  <m:t>F</m:t>
                </m:r>
                <m:r>
                  <m:t>C</m:t>
                </m:r>
                <m:r>
                  <m:t> </m:t>
                </m:r>
                <m:r>
                  <m:rPr>
                    <m:sty m:val="p"/>
                  </m:rPr>
                  <m:t>(</m:t>
                </m:r>
                <m:r>
                  <m:rPr>
                    <m:sty m:val="p"/>
                  </m:rPr>
                  <m:t>−</m:t>
                </m:r>
                <m:r>
                  <m:rPr>
                    <m:sty m:val="p"/>
                  </m:rPr>
                  <m:t>)</m:t>
                </m:r>
              </m:oMath>
            </m:oMathPara>
          </w:p>
          <w:p>
            <w:pPr>
              <w:pStyle w:val="FirstParagraph"/>
            </w:pPr>
            <w:r>
              <w:t xml:space="preserve">Onde:</w:t>
            </w:r>
          </w:p>
          <w:p>
            <w:pPr>
              <w:pStyle w:val="Compact"/>
              <w:numPr>
                <w:ilvl w:val="0"/>
                <w:numId w:val="1005"/>
              </w:numPr>
            </w:pPr>
            <m:oMath>
              <m:r>
                <m:t>P</m:t>
              </m:r>
              <m:sSub>
                <m:e>
                  <m:r>
                    <m:t>B</m:t>
                  </m:r>
                </m:e>
                <m:sub>
                  <m:r>
                    <m:t>m</m:t>
                  </m:r>
                  <m:r>
                    <m:t>o</m:t>
                  </m:r>
                  <m:r>
                    <m:t>b</m:t>
                  </m:r>
                </m:sub>
              </m:sSub>
            </m:oMath>
            <w:r>
              <w:t xml:space="preserve"> </w:t>
            </w:r>
            <w:r>
              <w:t xml:space="preserve">= pessoas beneficiadas estimadas (</w:t>
            </w:r>
            <w:r>
              <w:rPr>
                <w:b/>
                <w:bCs/>
              </w:rPr>
              <w:t xml:space="preserve">pessoas</w:t>
            </w:r>
            <w:r>
              <w:t xml:space="preserve">);</w:t>
            </w:r>
          </w:p>
          <w:p>
            <w:pPr>
              <w:pStyle w:val="Compact"/>
              <w:numPr>
                <w:ilvl w:val="0"/>
                <w:numId w:val="1005"/>
              </w:numPr>
            </w:pPr>
            <m:oMath>
              <m:r>
                <m:t>K</m:t>
              </m:r>
              <m:r>
                <m:t>M</m:t>
              </m:r>
            </m:oMath>
            <w:r>
              <w:t xml:space="preserve"> </w:t>
            </w:r>
            <w:r>
              <w:t xml:space="preserve">= extensão da intervenção (</w:t>
            </w:r>
            <w:r>
              <w:rPr>
                <w:b/>
                <w:bCs/>
              </w:rPr>
              <w:t xml:space="preserve">km</w:t>
            </w:r>
            <w:r>
              <w:t xml:space="preserve">);</w:t>
            </w:r>
          </w:p>
          <w:p>
            <w:pPr>
              <w:pStyle w:val="Compact"/>
              <w:numPr>
                <w:ilvl w:val="0"/>
                <w:numId w:val="1005"/>
              </w:numPr>
            </w:pPr>
            <m:oMath>
              <m:r>
                <m:t>F</m:t>
              </m:r>
              <m:r>
                <m:t>I</m:t>
              </m:r>
            </m:oMath>
            <w:r>
              <w:t xml:space="preserve"> </w:t>
            </w:r>
            <w:r>
              <w:t xml:space="preserve">= largura de influência média da tipologia (</w:t>
            </w:r>
            <w:r>
              <w:rPr>
                <w:b/>
                <w:bCs/>
              </w:rPr>
              <w:t xml:space="preserve">km</w:t>
            </w:r>
            <w:r>
              <w:t xml:space="preserve">);</w:t>
            </w:r>
          </w:p>
          <w:p>
            <w:pPr>
              <w:pStyle w:val="Compact"/>
              <w:numPr>
                <w:ilvl w:val="0"/>
                <w:numId w:val="1005"/>
              </w:numPr>
            </w:pPr>
            <m:oMath>
              <m:r>
                <m:t>D</m:t>
              </m:r>
              <m:r>
                <m:t>M</m:t>
              </m:r>
            </m:oMath>
            <w:r>
              <w:t xml:space="preserve"> </w:t>
            </w:r>
            <w:r>
              <w:t xml:space="preserve">= densidade média do município (</w:t>
            </w:r>
            <w:r>
              <w:rPr>
                <w:b/>
                <w:bCs/>
              </w:rPr>
              <w:t xml:space="preserve">hab/km^2</w:t>
            </w:r>
            <w:r>
              <w:t xml:space="preserve">);</w:t>
            </w:r>
          </w:p>
          <w:p>
            <w:pPr>
              <w:pStyle w:val="Compact"/>
              <w:numPr>
                <w:ilvl w:val="0"/>
                <w:numId w:val="1005"/>
              </w:numPr>
            </w:pPr>
            <m:oMath>
              <m:r>
                <m:t>F</m:t>
              </m:r>
              <m:r>
                <m:t>T</m:t>
              </m:r>
            </m:oMath>
            <w:r>
              <w:t xml:space="preserve"> </w:t>
            </w:r>
            <w:r>
              <w:t xml:space="preserve">= fator de tipologia (</w:t>
            </w:r>
            <w:r>
              <w:rPr>
                <w:b/>
                <w:bCs/>
              </w:rPr>
              <w:t xml:space="preserve">adimensional</w:t>
            </w:r>
            <w:r>
              <w:t xml:space="preserve">); e</w:t>
            </w:r>
          </w:p>
          <w:p>
            <w:pPr>
              <w:pStyle w:val="Compact"/>
              <w:numPr>
                <w:ilvl w:val="0"/>
                <w:numId w:val="1005"/>
              </w:numPr>
            </w:pPr>
            <m:oMath>
              <m:r>
                <m:t>F</m:t>
              </m:r>
              <m:r>
                <m:t>C</m:t>
              </m:r>
            </m:oMath>
            <w:r>
              <w:t xml:space="preserve"> </w:t>
            </w:r>
            <w:r>
              <w:t xml:space="preserve">= fator de complexidade do investimento (</w:t>
            </w:r>
            <w:r>
              <w:rPr>
                <w:b/>
                <w:bCs/>
              </w:rPr>
              <w:t xml:space="preserve">adimensional</w:t>
            </w:r>
            <w:r>
              <w:t xml:space="preserve">).</w:t>
            </w:r>
          </w:p>
          <w:p>
            <w:pPr>
              <w:pStyle w:val="FirstParagraph"/>
            </w:pPr>
            <w:r>
              <w:t xml:space="preserve">Referência para</w:t>
            </w:r>
            <w:r>
              <w:t xml:space="preserve"> </w:t>
            </w:r>
            <m:oMath>
              <m:r>
                <m:t>D</m:t>
              </m:r>
              <m:r>
                <m:t>M</m:t>
              </m:r>
            </m:oMath>
            <w:r>
              <w:t xml:space="preserve">: arquivo</w:t>
            </w:r>
            <w:r>
              <w:t xml:space="preserve"> </w:t>
            </w:r>
            <w:r>
              <w:rPr>
                <w:rStyle w:val="VerbatimChar"/>
              </w:rPr>
              <w:t xml:space="preserve">.. / data / densidade_urbana_municipios.csv</w:t>
            </w:r>
            <w:r>
              <w:t xml:space="preserve">.</w:t>
            </w:r>
          </w:p>
        </w:tc>
      </w:tr>
    </w:tbl>
    <w:p>
      <w:pPr>
        <w:pStyle w:val="BodyText"/>
      </w:pPr>
      <w:r>
        <w:t xml:space="preserve"> </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29" name="Picture"/>
                  <a:graphic>
                    <a:graphicData uri="http://schemas.openxmlformats.org/drawingml/2006/picture">
                      <pic:pic>
                        <pic:nvPicPr>
                          <pic:cNvPr descr="/opt/quarto/share/formats/docx/note.png" id="30"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Fórmula para aquisição de frota e material rodante</w:t>
            </w:r>
          </w:p>
          <w:p>
            <w:pPr>
              <w:pStyle w:val="BodyText"/>
            </w:pPr>
            <w:pPr>
              <w:spacing w:before="16"/>
            </w:pPr>
          </w:p>
          <w:p>
            <w:pPr>
              <w:pStyle w:val="BodyText"/>
            </w:pPr>
            <m:oMathPara>
              <m:oMathParaPr>
                <m:jc m:val="center"/>
              </m:oMathParaPr>
              <m:oMath>
                <m:r>
                  <m:t>P</m:t>
                </m:r>
                <m:sSub>
                  <m:e>
                    <m:r>
                      <m:t>B</m:t>
                    </m:r>
                  </m:e>
                  <m:sub>
                    <m:r>
                      <m:t>m</m:t>
                    </m:r>
                    <m:r>
                      <m:t>o</m:t>
                    </m:r>
                    <m:r>
                      <m:t>b</m:t>
                    </m:r>
                  </m:sub>
                </m:sSub>
                <m:r>
                  <m:t> </m:t>
                </m:r>
                <m:r>
                  <m:rPr>
                    <m:sty m:val="p"/>
                  </m:rPr>
                  <m:t>(</m:t>
                </m:r>
                <m:r>
                  <m:rPr>
                    <m:nor/>
                    <m:sty m:val="p"/>
                  </m:rPr>
                  <m:t>pessoas</m:t>
                </m:r>
                <m:r>
                  <m:rPr>
                    <m:sty m:val="p"/>
                  </m:rPr>
                  <m:t>)</m:t>
                </m:r>
                <m:r>
                  <m:rPr>
                    <m:sty m:val="p"/>
                  </m:rPr>
                  <m:t>=</m:t>
                </m:r>
                <m:f>
                  <m:fPr>
                    <m:type m:val="bar"/>
                  </m:fPr>
                  <m:num>
                    <m:r>
                      <m:t>I</m:t>
                    </m:r>
                    <m:r>
                      <m:t>N</m:t>
                    </m:r>
                    <m:r>
                      <m:t>V</m:t>
                    </m:r>
                    <m:r>
                      <m:t> </m:t>
                    </m:r>
                    <m:r>
                      <m:rPr>
                        <m:sty m:val="p"/>
                      </m:rPr>
                      <m:t>(</m:t>
                    </m:r>
                    <m:r>
                      <m:rPr>
                        <m:nor/>
                        <m:sty m:val="p"/>
                      </m:rPr>
                      <m:t>R$</m:t>
                    </m:r>
                    <m:r>
                      <m:rPr>
                        <m:sty m:val="p"/>
                      </m:rPr>
                      <m:t>)</m:t>
                    </m:r>
                  </m:num>
                  <m:den>
                    <m:sSub>
                      <m:e>
                        <m:r>
                          <m:t>C</m:t>
                        </m:r>
                      </m:e>
                      <m:sub>
                        <m:r>
                          <m:t>u</m:t>
                        </m:r>
                        <m:r>
                          <m:t>n</m:t>
                        </m:r>
                        <m:r>
                          <m:t>i</m:t>
                        </m:r>
                        <m:r>
                          <m:t>t</m:t>
                        </m:r>
                      </m:sub>
                    </m:sSub>
                    <m:r>
                      <m:t> </m:t>
                    </m:r>
                    <m:r>
                      <m:rPr>
                        <m:sty m:val="p"/>
                      </m:rPr>
                      <m:t>(</m:t>
                    </m:r>
                    <m:r>
                      <m:rPr>
                        <m:nor/>
                        <m:sty m:val="p"/>
                      </m:rPr>
                      <m:t>R$/unidade</m:t>
                    </m:r>
                    <m:r>
                      <m:rPr>
                        <m:sty m:val="p"/>
                      </m:rPr>
                      <m:t>)</m:t>
                    </m:r>
                  </m:den>
                </m:f>
                <m:r>
                  <m:rPr>
                    <m:sty m:val="p"/>
                  </m:rPr>
                  <m:t>×</m:t>
                </m:r>
                <m:sSub>
                  <m:e>
                    <m:r>
                      <m:t>B</m:t>
                    </m:r>
                  </m:e>
                  <m:sub>
                    <m:r>
                      <m:t>u</m:t>
                    </m:r>
                    <m:r>
                      <m:t>n</m:t>
                    </m:r>
                    <m:r>
                      <m:t>i</m:t>
                    </m:r>
                    <m:r>
                      <m:t>t</m:t>
                    </m:r>
                  </m:sub>
                </m:sSub>
                <m:r>
                  <m:t> </m:t>
                </m:r>
                <m:r>
                  <m:rPr>
                    <m:sty m:val="p"/>
                  </m:rPr>
                  <m:t>(</m:t>
                </m:r>
                <m:r>
                  <m:rPr>
                    <m:nor/>
                    <m:sty m:val="p"/>
                  </m:rPr>
                  <m:t>pessoas/unidade</m:t>
                </m:r>
                <m:r>
                  <m:rPr>
                    <m:sty m:val="p"/>
                  </m:rPr>
                  <m:t>)</m:t>
                </m:r>
              </m:oMath>
            </m:oMathPara>
          </w:p>
          <w:p>
            <w:pPr>
              <w:pStyle w:val="FirstParagraph"/>
            </w:pPr>
            <w:r>
              <w:t xml:space="preserve">Onde:</w:t>
            </w:r>
          </w:p>
          <w:p>
            <w:pPr>
              <w:pStyle w:val="Compact"/>
              <w:numPr>
                <w:ilvl w:val="0"/>
                <w:numId w:val="1006"/>
              </w:numPr>
            </w:pPr>
            <m:oMath>
              <m:r>
                <m:t>P</m:t>
              </m:r>
              <m:sSub>
                <m:e>
                  <m:r>
                    <m:t>B</m:t>
                  </m:r>
                </m:e>
                <m:sub>
                  <m:r>
                    <m:t>m</m:t>
                  </m:r>
                  <m:r>
                    <m:t>o</m:t>
                  </m:r>
                  <m:r>
                    <m:t>b</m:t>
                  </m:r>
                </m:sub>
              </m:sSub>
            </m:oMath>
            <w:r>
              <w:t xml:space="preserve"> </w:t>
            </w:r>
            <w:r>
              <w:t xml:space="preserve">= pessoas beneficiadas estimadas (</w:t>
            </w:r>
            <w:r>
              <w:rPr>
                <w:b/>
                <w:bCs/>
              </w:rPr>
              <w:t xml:space="preserve">pessoas</w:t>
            </w:r>
            <w:r>
              <w:t xml:space="preserve">);</w:t>
            </w:r>
          </w:p>
          <w:p>
            <w:pPr>
              <w:pStyle w:val="Compact"/>
              <w:numPr>
                <w:ilvl w:val="0"/>
                <w:numId w:val="1006"/>
              </w:numPr>
            </w:pPr>
            <m:oMath>
              <m:r>
                <m:t>I</m:t>
              </m:r>
              <m:r>
                <m:t>N</m:t>
              </m:r>
              <m:r>
                <m:t>V</m:t>
              </m:r>
            </m:oMath>
            <w:r>
              <w:t xml:space="preserve"> </w:t>
            </w:r>
            <w:r>
              <w:t xml:space="preserve">= valor de investimento (</w:t>
            </w:r>
            <w:r>
              <w:rPr>
                <w:b/>
                <w:bCs/>
              </w:rPr>
              <w:t xml:space="preserve">R$</w:t>
            </w:r>
            <w:r>
              <w:t xml:space="preserve">);</w:t>
            </w:r>
          </w:p>
          <w:p>
            <w:pPr>
              <w:pStyle w:val="Compact"/>
              <w:numPr>
                <w:ilvl w:val="0"/>
                <w:numId w:val="1006"/>
              </w:numPr>
            </w:pPr>
            <m:oMath>
              <m:sSub>
                <m:e>
                  <m:r>
                    <m:t>C</m:t>
                  </m:r>
                </m:e>
                <m:sub>
                  <m:r>
                    <m:t>u</m:t>
                  </m:r>
                  <m:r>
                    <m:t>n</m:t>
                  </m:r>
                  <m:r>
                    <m:t>i</m:t>
                  </m:r>
                  <m:r>
                    <m:t>t</m:t>
                  </m:r>
                </m:sub>
              </m:sSub>
            </m:oMath>
            <w:r>
              <w:t xml:space="preserve"> </w:t>
            </w:r>
            <w:r>
              <w:t xml:space="preserve">= custo médio unitário estimado do veículo ou composição (</w:t>
            </w:r>
            <w:r>
              <w:rPr>
                <w:b/>
                <w:bCs/>
              </w:rPr>
              <w:t xml:space="preserve">R$/unidade</w:t>
            </w:r>
            <w:r>
              <w:t xml:space="preserve">); e</w:t>
            </w:r>
          </w:p>
          <w:p>
            <w:pPr>
              <w:pStyle w:val="Compact"/>
              <w:numPr>
                <w:ilvl w:val="0"/>
                <w:numId w:val="1006"/>
              </w:numPr>
            </w:pPr>
            <m:oMath>
              <m:sSub>
                <m:e>
                  <m:r>
                    <m:t>B</m:t>
                  </m:r>
                </m:e>
                <m:sub>
                  <m:r>
                    <m:t>u</m:t>
                  </m:r>
                  <m:r>
                    <m:t>n</m:t>
                  </m:r>
                  <m:r>
                    <m:t>i</m:t>
                  </m:r>
                  <m:r>
                    <m:t>t</m:t>
                  </m:r>
                </m:sub>
              </m:sSub>
            </m:oMath>
            <w:r>
              <w:t xml:space="preserve"> </w:t>
            </w:r>
            <w:r>
              <w:t xml:space="preserve">= beneficiários médios estimados por unidade adquirida (</w:t>
            </w:r>
            <w:r>
              <w:rPr>
                <w:b/>
                <w:bCs/>
              </w:rPr>
              <w:t xml:space="preserve">pessoas/unidade</w:t>
            </w:r>
            <w:r>
              <w:t xml:space="preserve">).</w:t>
            </w:r>
          </w:p>
        </w:tc>
      </w:tr>
    </w:tbl>
    <w:bookmarkStart w:id="31" w:name="X29e243f650dbdaa3bc3dbed64b7a2b005d51844"/>
    <w:p>
      <w:pPr>
        <w:pStyle w:val="Heading4"/>
      </w:pPr>
      <w:r>
        <w:t xml:space="preserve">7.1 Regra subsidiária para ausência de informação de extensão</w:t>
      </w:r>
    </w:p>
    <w:p>
      <w:pPr>
        <w:pStyle w:val="FirstParagraph"/>
      </w:pPr>
      <w:r>
        <w:t xml:space="preserve">Nos casos em que não houver informação disponível acerca da extensão física do empreendimento, recomenda-se, de forma subsidiária, estimar um quantitativo de referência mediante a divisão do valor do investimento pelo custo médio da modalidade da obra em questão, a fim de viabilizar a aplicação da metodologia de cálculo da população beneficiada.</w:t>
      </w:r>
    </w:p>
    <w:p>
      <w:pPr>
        <w:pStyle w:val="BodyText"/>
      </w:pPr>
      <m:oMathPara>
        <m:oMathParaPr>
          <m:jc m:val="center"/>
        </m:oMathParaPr>
        <m:oMath>
          <m:sSub>
            <m:e>
              <m:r>
                <m:t>Q</m:t>
              </m:r>
            </m:e>
            <m:sub>
              <m:r>
                <m:t>r</m:t>
              </m:r>
              <m:r>
                <m:t>e</m:t>
              </m:r>
              <m:r>
                <m:t>f</m:t>
              </m:r>
            </m:sub>
          </m:sSub>
          <m:r>
            <m:t> </m:t>
          </m:r>
          <m:r>
            <m:rPr>
              <m:sty m:val="p"/>
            </m:rPr>
            <m:t>(</m:t>
          </m:r>
          <m:r>
            <m:rPr>
              <m:nor/>
              <m:sty m:val="p"/>
            </m:rPr>
            <m:t>km</m:t>
          </m:r>
          <m:r>
            <m:rPr>
              <m:sty m:val="p"/>
            </m:rPr>
            <m:t>)</m:t>
          </m:r>
          <m:r>
            <m:rPr>
              <m:sty m:val="p"/>
            </m:rPr>
            <m:t>=</m:t>
          </m:r>
          <m:f>
            <m:fPr>
              <m:type m:val="bar"/>
            </m:fPr>
            <m:num>
              <m:r>
                <m:t>I</m:t>
              </m:r>
              <m:r>
                <m:t>N</m:t>
              </m:r>
              <m:r>
                <m:t>V</m:t>
              </m:r>
              <m:r>
                <m:t> </m:t>
              </m:r>
              <m:r>
                <m:rPr>
                  <m:sty m:val="p"/>
                </m:rPr>
                <m:t>(</m:t>
              </m:r>
              <m:r>
                <m:rPr>
                  <m:nor/>
                  <m:sty m:val="p"/>
                </m:rPr>
                <m:t>R$</m:t>
              </m:r>
              <m:r>
                <m:rPr>
                  <m:sty m:val="p"/>
                </m:rPr>
                <m:t>)</m:t>
              </m:r>
            </m:num>
            <m:den>
              <m:sSub>
                <m:e>
                  <m:r>
                    <m:t>C</m:t>
                  </m:r>
                </m:e>
                <m:sub>
                  <m:r>
                    <m:t>m</m:t>
                  </m:r>
                  <m:r>
                    <m:t>e</m:t>
                  </m:r>
                  <m:r>
                    <m:t>d</m:t>
                  </m:r>
                  <m:r>
                    <m:rPr>
                      <m:sty m:val="p"/>
                    </m:rPr>
                    <m:t>,</m:t>
                  </m:r>
                  <m:r>
                    <m:t>m</m:t>
                  </m:r>
                  <m:r>
                    <m:t>o</m:t>
                  </m:r>
                  <m:r>
                    <m:t>d</m:t>
                  </m:r>
                </m:sub>
              </m:sSub>
              <m:r>
                <m:t> </m:t>
              </m:r>
              <m:r>
                <m:rPr>
                  <m:sty m:val="p"/>
                </m:rPr>
                <m:t>(</m:t>
              </m:r>
              <m:r>
                <m:rPr>
                  <m:nor/>
                  <m:sty m:val="p"/>
                </m:rPr>
                <m:t>R$/km</m:t>
              </m:r>
              <m:r>
                <m:rPr>
                  <m:sty m:val="p"/>
                </m:rPr>
                <m:t>)</m:t>
              </m:r>
            </m:den>
          </m:f>
        </m:oMath>
      </m:oMathPara>
    </w:p>
    <w:p>
      <w:pPr>
        <w:pStyle w:val="FirstParagraph"/>
      </w:pPr>
      <w:r>
        <w:t xml:space="preserve">Onde:</w:t>
      </w:r>
    </w:p>
    <w:p>
      <w:pPr>
        <w:pStyle w:val="Compact"/>
        <w:numPr>
          <w:ilvl w:val="0"/>
          <w:numId w:val="1007"/>
        </w:numPr>
      </w:pPr>
      <m:oMath>
        <m:sSub>
          <m:e>
            <m:r>
              <m:t>Q</m:t>
            </m:r>
          </m:e>
          <m:sub>
            <m:r>
              <m:t>r</m:t>
            </m:r>
            <m:r>
              <m:t>e</m:t>
            </m:r>
            <m:r>
              <m:t>f</m:t>
            </m:r>
          </m:sub>
        </m:sSub>
      </m:oMath>
      <w:r>
        <w:t xml:space="preserve"> </w:t>
      </w:r>
      <w:r>
        <w:t xml:space="preserve">= quantitativo de referência estimado do empreendimento (</w:t>
      </w:r>
      <w:r>
        <w:rPr>
          <w:b/>
          <w:bCs/>
        </w:rPr>
        <w:t xml:space="preserve">km</w:t>
      </w:r>
      <w:r>
        <w:t xml:space="preserve">);</w:t>
      </w:r>
    </w:p>
    <w:p>
      <w:pPr>
        <w:pStyle w:val="Compact"/>
        <w:numPr>
          <w:ilvl w:val="0"/>
          <w:numId w:val="1007"/>
        </w:numPr>
      </w:pPr>
      <m:oMath>
        <m:r>
          <m:t>I</m:t>
        </m:r>
        <m:r>
          <m:t>N</m:t>
        </m:r>
        <m:r>
          <m:t>V</m:t>
        </m:r>
      </m:oMath>
      <w:r>
        <w:t xml:space="preserve"> </w:t>
      </w:r>
      <w:r>
        <w:t xml:space="preserve">= valor total do investimento (</w:t>
      </w:r>
      <w:r>
        <w:rPr>
          <w:b/>
          <w:bCs/>
        </w:rPr>
        <w:t xml:space="preserve">R$</w:t>
      </w:r>
      <w:r>
        <w:t xml:space="preserve">); e</w:t>
      </w:r>
    </w:p>
    <w:p>
      <w:pPr>
        <w:pStyle w:val="Compact"/>
        <w:numPr>
          <w:ilvl w:val="0"/>
          <w:numId w:val="1007"/>
        </w:numPr>
      </w:pPr>
      <m:oMath>
        <m:sSub>
          <m:e>
            <m:r>
              <m:t>C</m:t>
            </m:r>
          </m:e>
          <m:sub>
            <m:r>
              <m:t>m</m:t>
            </m:r>
            <m:r>
              <m:t>e</m:t>
            </m:r>
            <m:r>
              <m:t>d</m:t>
            </m:r>
            <m:r>
              <m:rPr>
                <m:sty m:val="p"/>
              </m:rPr>
              <m:t>,</m:t>
            </m:r>
            <m:r>
              <m:t>m</m:t>
            </m:r>
            <m:r>
              <m:t>o</m:t>
            </m:r>
            <m:r>
              <m:t>d</m:t>
            </m:r>
          </m:sub>
        </m:sSub>
      </m:oMath>
      <w:r>
        <w:t xml:space="preserve"> </w:t>
      </w:r>
      <w:r>
        <w:t xml:space="preserve">= custo médio da modalidade da obra em questão (</w:t>
      </w:r>
      <w:r>
        <w:rPr>
          <w:b/>
          <w:bCs/>
        </w:rPr>
        <w:t xml:space="preserve">R$/km</w:t>
      </w:r>
      <w:r>
        <w:t xml:space="preserve">).</w:t>
      </w:r>
    </w:p>
    <w:p>
      <w:pPr>
        <w:pStyle w:val="FirstParagraph"/>
      </w:pPr>
      <w:r>
        <w:t xml:space="preserve">Na ausência de informação sobre a extensão da intervenção, o quantitativo de referência estimado (</w:t>
      </w:r>
      <m:oMath>
        <m:sSub>
          <m:e>
            <m:r>
              <m:t>Q</m:t>
            </m:r>
          </m:e>
          <m:sub>
            <m:r>
              <m:t>r</m:t>
            </m:r>
            <m:r>
              <m:t>e</m:t>
            </m:r>
            <m:r>
              <m:t>f</m:t>
            </m:r>
          </m:sub>
        </m:sSub>
      </m:oMath>
      <w:r>
        <w:t xml:space="preserve">) deverá substituir operacionalmente a variável</w:t>
      </w:r>
      <w:r>
        <w:t xml:space="preserve"> </w:t>
      </w:r>
      <m:oMath>
        <m:r>
          <m:t>K</m:t>
        </m:r>
        <m:r>
          <m:t>M</m:t>
        </m:r>
      </m:oMath>
      <w:r>
        <w:t xml:space="preserve"> </w:t>
      </w:r>
      <w:r>
        <w:t xml:space="preserve">na aplicação da fórmula de estimativa da população beneficiada, conforme a expressão a seguir:</w:t>
      </w:r>
    </w:p>
    <w:p>
      <w:pPr>
        <w:pStyle w:val="BodyText"/>
      </w:pPr>
      <m:oMathPara>
        <m:oMathParaPr>
          <m:jc m:val="center"/>
        </m:oMathParaPr>
        <m:oMath>
          <m:r>
            <m:t>P</m:t>
          </m:r>
          <m:sSub>
            <m:e>
              <m:r>
                <m:t>B</m:t>
              </m:r>
            </m:e>
            <m:sub>
              <m:r>
                <m:t>m</m:t>
              </m:r>
              <m:r>
                <m:t>o</m:t>
              </m:r>
              <m:r>
                <m:t>b</m:t>
              </m:r>
            </m:sub>
          </m:sSub>
          <m:r>
            <m:t> </m:t>
          </m:r>
          <m:r>
            <m:rPr>
              <m:sty m:val="p"/>
            </m:rPr>
            <m:t>(</m:t>
          </m:r>
          <m:r>
            <m:rPr>
              <m:nor/>
              <m:sty m:val="p"/>
            </m:rPr>
            <m:t>pessoas</m:t>
          </m:r>
          <m:r>
            <m:rPr>
              <m:sty m:val="p"/>
            </m:rPr>
            <m:t>)</m:t>
          </m:r>
          <m:r>
            <m:rPr>
              <m:sty m:val="p"/>
            </m:rPr>
            <m:t>=</m:t>
          </m:r>
          <m:sSub>
            <m:e>
              <m:r>
                <m:t>Q</m:t>
              </m:r>
            </m:e>
            <m:sub>
              <m:r>
                <m:t>r</m:t>
              </m:r>
              <m:r>
                <m:t>e</m:t>
              </m:r>
              <m:r>
                <m:t>f</m:t>
              </m:r>
            </m:sub>
          </m:sSub>
          <m:r>
            <m:t> </m:t>
          </m:r>
          <m:r>
            <m:rPr>
              <m:sty m:val="p"/>
            </m:rPr>
            <m:t>(</m:t>
          </m:r>
          <m:r>
            <m:rPr>
              <m:nor/>
              <m:sty m:val="p"/>
            </m:rPr>
            <m:t>km</m:t>
          </m:r>
          <m:r>
            <m:rPr>
              <m:sty m:val="p"/>
            </m:rPr>
            <m:t>)</m:t>
          </m:r>
          <m:r>
            <m:rPr>
              <m:sty m:val="p"/>
            </m:rPr>
            <m:t>×</m:t>
          </m:r>
          <m:r>
            <m:t>F</m:t>
          </m:r>
          <m:r>
            <m:t>I</m:t>
          </m:r>
          <m:r>
            <m:t> </m:t>
          </m:r>
          <m:r>
            <m:rPr>
              <m:sty m:val="p"/>
            </m:rPr>
            <m:t>(</m:t>
          </m:r>
          <m:r>
            <m:rPr>
              <m:nor/>
              <m:sty m:val="p"/>
            </m:rPr>
            <m:t>km</m:t>
          </m:r>
          <m:r>
            <m:rPr>
              <m:sty m:val="p"/>
            </m:rPr>
            <m:t>)</m:t>
          </m:r>
          <m:r>
            <m:rPr>
              <m:sty m:val="p"/>
            </m:rPr>
            <m:t>×</m:t>
          </m:r>
          <m:r>
            <m:t>D</m:t>
          </m:r>
          <m:r>
            <m:t>M</m:t>
          </m:r>
          <m:r>
            <m:t> </m:t>
          </m:r>
          <m:r>
            <m:rPr>
              <m:sty m:val="p"/>
            </m:rPr>
            <m:t>(</m:t>
          </m:r>
          <m:sSup>
            <m:e>
              <m:r>
                <m:rPr>
                  <m:nor/>
                  <m:sty m:val="p"/>
                </m:rPr>
                <m:t>hab/km</m:t>
              </m:r>
            </m:e>
            <m:sup>
              <m:r>
                <m:t>2</m:t>
              </m:r>
            </m:sup>
          </m:sSup>
          <m:r>
            <m:rPr>
              <m:sty m:val="p"/>
            </m:rPr>
            <m:t>)</m:t>
          </m:r>
          <m:r>
            <m:rPr>
              <m:sty m:val="p"/>
            </m:rPr>
            <m:t>×</m:t>
          </m:r>
          <m:r>
            <m:t>F</m:t>
          </m:r>
          <m:r>
            <m:t>T</m:t>
          </m:r>
          <m:r>
            <m:t> </m:t>
          </m:r>
          <m:r>
            <m:rPr>
              <m:sty m:val="p"/>
            </m:rPr>
            <m:t>(</m:t>
          </m:r>
          <m:r>
            <m:rPr>
              <m:sty m:val="p"/>
            </m:rPr>
            <m:t>−</m:t>
          </m:r>
          <m:r>
            <m:rPr>
              <m:sty m:val="p"/>
            </m:rPr>
            <m:t>)</m:t>
          </m:r>
          <m:r>
            <m:rPr>
              <m:sty m:val="p"/>
            </m:rPr>
            <m:t>×</m:t>
          </m:r>
          <m:r>
            <m:t>F</m:t>
          </m:r>
          <m:r>
            <m:t>C</m:t>
          </m:r>
          <m:r>
            <m:t> </m:t>
          </m:r>
          <m:r>
            <m:rPr>
              <m:sty m:val="p"/>
            </m:rPr>
            <m:t>(</m:t>
          </m:r>
          <m:r>
            <m:rPr>
              <m:sty m:val="p"/>
            </m:rPr>
            <m:t>−</m:t>
          </m:r>
          <m:r>
            <m:rPr>
              <m:sty m:val="p"/>
            </m:rPr>
            <m:t>)</m:t>
          </m:r>
        </m:oMath>
      </m:oMathPara>
    </w:p>
    <w:p>
      <w:pPr>
        <w:pStyle w:val="FirstParagraph"/>
      </w:pPr>
      <w:r>
        <w:t xml:space="preserve">Essa saída deverá ser utilizada apenas de forma excepcional, quando inexistir dado mais preciso sobre a dimensão física da intervenção, devendo ser substituída sempre que houver informação de extensão disponível.</w:t>
      </w:r>
    </w:p>
    <w:bookmarkEnd w:id="31"/>
    <w:bookmarkEnd w:id="32"/>
    <w:bookmarkStart w:id="33" w:name="Xd4f8a2627f3f03ca1d94ea84ef88e7cf81dbe59"/>
    <w:p>
      <w:pPr>
        <w:pStyle w:val="Heading3"/>
      </w:pPr>
      <w:r>
        <w:t xml:space="preserve">8. Interpretação da fórmula para obras lineares</w:t>
      </w:r>
    </w:p>
    <w:p>
      <w:pPr>
        <w:pStyle w:val="FirstParagraph"/>
      </w:pPr>
      <w:r>
        <w:t xml:space="preserve">A fórmula aplicável às obras lineares combina cinco dimensões principais:</w:t>
      </w:r>
    </w:p>
    <w:p>
      <w:pPr>
        <w:pStyle w:val="Compact"/>
        <w:numPr>
          <w:ilvl w:val="0"/>
          <w:numId w:val="1008"/>
        </w:numPr>
      </w:pPr>
      <w:r>
        <w:t xml:space="preserve">a extensão física da intervenção (</w:t>
      </w:r>
      <m:oMath>
        <m:r>
          <m:t>K</m:t>
        </m:r>
        <m:r>
          <m:t>M</m:t>
        </m:r>
      </m:oMath>
      <w:r>
        <w:t xml:space="preserve">);</w:t>
      </w:r>
    </w:p>
    <w:p>
      <w:pPr>
        <w:pStyle w:val="Compact"/>
        <w:numPr>
          <w:ilvl w:val="0"/>
          <w:numId w:val="1008"/>
        </w:numPr>
      </w:pPr>
      <w:r>
        <w:t xml:space="preserve">a faixa média de influência territorial do empreendimento (</w:t>
      </w:r>
      <m:oMath>
        <m:r>
          <m:t>F</m:t>
        </m:r>
        <m:r>
          <m:t>I</m:t>
        </m:r>
      </m:oMath>
      <w:r>
        <w:t xml:space="preserve">);</w:t>
      </w:r>
    </w:p>
    <w:p>
      <w:pPr>
        <w:pStyle w:val="Compact"/>
        <w:numPr>
          <w:ilvl w:val="0"/>
          <w:numId w:val="1008"/>
        </w:numPr>
      </w:pPr>
      <w:r>
        <w:t xml:space="preserve">a densidade média urbana do município (</w:t>
      </w:r>
      <m:oMath>
        <m:r>
          <m:t>D</m:t>
        </m:r>
        <m:r>
          <m:t>M</m:t>
        </m:r>
      </m:oMath>
      <w:r>
        <w:t xml:space="preserve">);</w:t>
      </w:r>
    </w:p>
    <w:p>
      <w:pPr>
        <w:pStyle w:val="Compact"/>
        <w:numPr>
          <w:ilvl w:val="0"/>
          <w:numId w:val="1008"/>
        </w:numPr>
      </w:pPr>
      <w:r>
        <w:t xml:space="preserve">a capacidade da tipologia de converter proximidade territorial em benefício efetivo (</w:t>
      </w:r>
      <m:oMath>
        <m:r>
          <m:t>F</m:t>
        </m:r>
        <m:r>
          <m:t>T</m:t>
        </m:r>
      </m:oMath>
      <w:r>
        <w:t xml:space="preserve">); e</w:t>
      </w:r>
    </w:p>
    <w:p>
      <w:pPr>
        <w:pStyle w:val="Compact"/>
        <w:numPr>
          <w:ilvl w:val="0"/>
          <w:numId w:val="1008"/>
        </w:numPr>
      </w:pPr>
      <w:r>
        <w:t xml:space="preserve">a robustez relativa do investimento realizado (</w:t>
      </w:r>
      <m:oMath>
        <m:r>
          <m:t>F</m:t>
        </m:r>
        <m:r>
          <m:t>C</m:t>
        </m:r>
      </m:oMath>
      <w:r>
        <w:t xml:space="preserve">).</w:t>
      </w:r>
    </w:p>
    <w:p>
      <w:pPr>
        <w:pStyle w:val="FirstParagraph"/>
      </w:pPr>
      <w:r>
        <w:t xml:space="preserve">Em termos práticos, o produto entre</w:t>
      </w:r>
      <w:r>
        <w:t xml:space="preserve"> </w:t>
      </w:r>
      <m:oMath>
        <m:r>
          <m:t>K</m:t>
        </m:r>
        <m:r>
          <m:t>M</m:t>
        </m:r>
      </m:oMath>
      <w:r>
        <w:t xml:space="preserve"> </w:t>
      </w:r>
      <w:r>
        <w:t xml:space="preserve">e</w:t>
      </w:r>
      <w:r>
        <w:t xml:space="preserve"> </w:t>
      </w:r>
      <m:oMath>
        <m:r>
          <m:t>F</m:t>
        </m:r>
        <m:r>
          <m:t>I</m:t>
        </m:r>
      </m:oMath>
      <w:r>
        <w:t xml:space="preserve"> </w:t>
      </w:r>
      <w:r>
        <w:t xml:space="preserve">corresponde a uma aproximação simplificada da área de influência do empreendimento. Ao multiplicar esse resultado pela densidade média do município, obtém-se uma estimativa da população potencialmente situada nessa área de influência. Na sequência, aplicam-se o fator de tipologia e o fator de complexidade do investimento, com o objetivo de ajustar a estimativa segundo a natureza da intervenção e o nível relativo de complexidade do investimento.</w:t>
      </w:r>
    </w:p>
    <w:p>
      <w:pPr>
        <w:pStyle w:val="BodyText"/>
      </w:pPr>
      <w:r>
        <w:t xml:space="preserve">Essa formulação permite captar, de modo simplificado, três dimensões centrais do problema: o porte físico da obra, o alcance espacial potencial de seus benefícios e as características da intervenção, expressas pela tipologia do empreendimento e pelo nível de complexidade do investimento.</w:t>
      </w:r>
    </w:p>
    <w:bookmarkEnd w:id="33"/>
    <w:bookmarkStart w:id="40" w:name="parâmetros-para-obras-lineares"/>
    <w:p>
      <w:pPr>
        <w:pStyle w:val="Heading3"/>
      </w:pPr>
      <w:r>
        <w:t xml:space="preserve">9. Parâmetros para obras lineares</w:t>
      </w:r>
    </w:p>
    <w:p>
      <w:pPr>
        <w:pStyle w:val="FirstParagraph"/>
      </w:pPr>
      <w:r>
        <w:t xml:space="preserve">As subseções a seguir apresentam os parâmetros de referência recomendados para a aplicação da metodologia, com destaque inicial para a variável de densidade (</w:t>
      </w:r>
      <m:oMath>
        <m:r>
          <m:t>D</m:t>
        </m:r>
        <m:r>
          <m:t>M</m:t>
        </m:r>
      </m:oMath>
      <w:r>
        <w:t xml:space="preserve">), seguida dos parâmetros de faixa de influência (</w:t>
      </w:r>
      <m:oMath>
        <m:r>
          <m:t>F</m:t>
        </m:r>
        <m:r>
          <m:t>I</m:t>
        </m:r>
      </m:oMath>
      <w:r>
        <w:t xml:space="preserve">), fator de tipologia (</w:t>
      </w:r>
      <m:oMath>
        <m:r>
          <m:t>F</m:t>
        </m:r>
        <m:r>
          <m:t>T</m:t>
        </m:r>
      </m:oMath>
      <w:r>
        <w:t xml:space="preserve">) e fator de complexidade (</w:t>
      </w:r>
      <m:oMath>
        <m:r>
          <m:t>F</m:t>
        </m:r>
        <m:r>
          <m:t>C</m:t>
        </m:r>
      </m:oMath>
      <w:r>
        <w:t xml:space="preserve">). Esses valores têm caráter inicial e poderão ser revistos à medida que a carteira evoluir, que os custos observados se consolidarem e que novas bases de dados estiverem disponíveis.</w:t>
      </w:r>
    </w:p>
    <w:bookmarkStart w:id="35" w:name="densidade-urbana-municipal-dm"/>
    <w:p>
      <w:pPr>
        <w:pStyle w:val="Heading4"/>
      </w:pPr>
      <w:r>
        <w:t xml:space="preserve">9.1 Densidade urbana municipal (DM)</w:t>
      </w:r>
    </w:p>
    <w:p>
      <w:pPr>
        <w:pStyle w:val="FirstParagraph"/>
      </w:pPr>
      <w:r>
        <w:t xml:space="preserve">No caso da variável</w:t>
      </w:r>
      <w:r>
        <w:t xml:space="preserve"> </w:t>
      </w:r>
      <m:oMath>
        <m:r>
          <m:t>D</m:t>
        </m:r>
        <m:r>
          <m:t>M</m:t>
        </m:r>
      </m:oMath>
      <w:r>
        <w:t xml:space="preserve">, adota-se, preferencialmente, a</w:t>
      </w:r>
      <w:r>
        <w:t xml:space="preserve"> </w:t>
      </w:r>
      <w:r>
        <w:rPr>
          <w:b/>
          <w:bCs/>
        </w:rPr>
        <w:t xml:space="preserve">densidade urbana do município</w:t>
      </w:r>
      <w:r>
        <w:t xml:space="preserve">, por ela representar melhor a pressão demográfica sobre a área efetivamente urbanizada e, portanto, o espaço em que os benefícios das intervenções de mobilidade tendem a se materializar. Operacionalmente, esse parâmetro corresponde à razão entre a população total do município e a área urbana identificada na base territorial utilizada.</w:t>
      </w:r>
    </w:p>
    <w:p>
      <w:pPr>
        <w:pStyle w:val="BodyText"/>
      </w:pPr>
      <w:r>
        <w:t xml:space="preserve">Assim, nas aplicações da fórmula para empreendimentos específicos, a variável</w:t>
      </w:r>
      <w:r>
        <w:t xml:space="preserve"> </w:t>
      </w:r>
      <m:oMath>
        <m:r>
          <m:t>D</m:t>
        </m:r>
        <m:r>
          <m:t>M</m:t>
        </m:r>
      </m:oMath>
      <w:r>
        <w:t xml:space="preserve"> </w:t>
      </w:r>
      <w:r>
        <w:t xml:space="preserve">deve ser preenchida com a</w:t>
      </w:r>
      <w:r>
        <w:t xml:space="preserve"> </w:t>
      </w:r>
      <w:r>
        <w:rPr>
          <w:b/>
          <w:bCs/>
        </w:rPr>
        <w:t xml:space="preserve">densidade urbana municipal</w:t>
      </w:r>
      <w:r>
        <w:t xml:space="preserve"> </w:t>
      </w:r>
      <w:r>
        <w:t xml:space="preserve">correspondente ao município do projeto. Já nas estimativas agregadas de orçamento ou carteira, em que não se trabalha com um único município observável, adota-se a</w:t>
      </w:r>
      <w:r>
        <w:t xml:space="preserve"> </w:t>
      </w:r>
      <w:r>
        <w:rPr>
          <w:b/>
          <w:bCs/>
        </w:rPr>
        <w:t xml:space="preserve">densidade urbana ponderada de referência</w:t>
      </w:r>
      <w:r>
        <w:t xml:space="preserve"> </w:t>
      </w:r>
      <w:r>
        <w:t xml:space="preserve">(</w:t>
      </w:r>
      <m:oMath>
        <m:r>
          <m:t>D</m:t>
        </m:r>
        <m:sSub>
          <m:e>
            <m:r>
              <m:t>M</m:t>
            </m:r>
          </m:e>
          <m:sub>
            <m:r>
              <m:t>r</m:t>
            </m:r>
            <m:r>
              <m:t>e</m:t>
            </m:r>
            <m:r>
              <m:t>f</m:t>
            </m:r>
          </m:sub>
        </m:sSub>
      </m:oMath>
      <w:r>
        <w:t xml:space="preserve">), atualmente fixada em 3.895 hab/km².</w:t>
      </w:r>
    </w:p>
    <w:p>
      <w:pPr>
        <w:pStyle w:val="BodyText"/>
      </w:pPr>
      <w:r>
        <w:t xml:space="preserve">Para fins de padronização, recomenda-se utilizar a coluna</w:t>
      </w:r>
      <w:r>
        <w:t xml:space="preserve"> </w:t>
      </w:r>
      <w:r>
        <w:rPr>
          <w:rStyle w:val="VerbatimChar"/>
        </w:rPr>
        <w:t xml:space="preserve">densidade_urbana_hab / km2</w:t>
      </w:r>
      <w:r>
        <w:t xml:space="preserve"> </w:t>
      </w:r>
      <w:r>
        <w:t xml:space="preserve">da base de referência disponível para download abaixo para o cálculo municipal e a estatística de densidade urbana ponderada da mesma base para as aplicações orçamentárias agregadas. Nos casos excepcionais em que não houver área urbana identificada para determinado município, a própria base já adota como aproximação a área total municipal, evitando lacunas na aplicação da metodologia.</w:t>
      </w:r>
    </w:p>
    <w:p>
      <w:pPr>
        <w:pStyle w:val="BodyText"/>
      </w:pPr>
      <w:r>
        <w:t xml:space="preserve">Para maior detalhamento sobre o cálculo da densidade urbana municipal e da densidade urbana ponderada de referência, ver a nota complementar</w:t>
      </w:r>
      <w:r>
        <w:t xml:space="preserve"> </w:t>
      </w:r>
      <w:hyperlink r:id="rId34">
        <w:r>
          <w:rPr>
            <w:rStyle w:val="Hyperlink"/>
          </w:rPr>
          <w:t xml:space="preserve">Detalhamento do cálculo da densidade de referência</w:t>
        </w:r>
      </w:hyperlink>
      <w:r>
        <w:t xml:space="preserve">.</w:t>
      </w:r>
    </w:p>
    <w:p>
      <w:pPr>
        <w:pStyle w:val="BodyText"/>
      </w:pPr>
      <w:r>
        <w:t xml:space="preserve">Referência para</w:t>
      </w:r>
      <w:r>
        <w:t xml:space="preserve"> </w:t>
      </w:r>
      <m:oMath>
        <m:r>
          <m:t>D</m:t>
        </m:r>
        <m:r>
          <m:t>M</m:t>
        </m:r>
      </m:oMath>
      <w:r>
        <w:t xml:space="preserve">: arquivo</w:t>
      </w:r>
      <w:r>
        <w:t xml:space="preserve"> </w:t>
      </w:r>
      <w:r>
        <w:rPr>
          <w:rStyle w:val="VerbatimChar"/>
        </w:rPr>
        <w:t xml:space="preserve">.. / data / densidade_urbana_municipios.csv</w:t>
      </w:r>
      <w:r>
        <w:t xml:space="preserve">.</w:t>
      </w:r>
    </w:p>
    <w:bookmarkEnd w:id="35"/>
    <w:bookmarkStart w:id="36" w:name="faixa-de-influência-média-fi"/>
    <w:p>
      <w:pPr>
        <w:pStyle w:val="Heading4"/>
      </w:pPr>
      <w:r>
        <w:t xml:space="preserve">9.2 Faixa de influência média (FI)</w:t>
      </w:r>
    </w:p>
    <w:p>
      <w:pPr>
        <w:pStyle w:val="FirstParagraph"/>
      </w:pPr>
      <w:r>
        <w:t xml:space="preserve">A largura de influência corresponde à faixa média de abrangência territorial do empreendimento ao longo de seu eixo, representando, de forma simplificada, o alcance espacial potencial dos benefícios gerados pela intervenção.</w:t>
      </w:r>
    </w:p>
    <w:p>
      <w:pPr>
        <w:pStyle w:val="BodyText"/>
      </w:pPr>
      <w:r>
        <w:t xml:space="preserve">Em termos metodológicos, o parâmetro</w:t>
      </w:r>
      <w:r>
        <w:t xml:space="preserve"> </w:t>
      </w:r>
      <m:oMath>
        <m:r>
          <m:t>F</m:t>
        </m:r>
        <m:r>
          <m:t>I</m:t>
        </m:r>
      </m:oMath>
      <w:r>
        <w:t xml:space="preserve"> </w:t>
      </w:r>
      <w:r>
        <w:t xml:space="preserve">procura refletir que diferentes tipos de obra possuem alcances territoriais distintos. Empreendimentos de maior capacidade e maior integração urbana, como metrô, trem urbano, VLT e BRT, tendem a influenciar uma faixa territorial mais ampla. Já intervenções como ciclovias, ciclofaixas e calçadas possuem alcance mais localizado, concentrando seus efeitos em áreas mais próximas.</w:t>
      </w:r>
    </w:p>
    <w:p>
      <w:pPr>
        <w:pStyle w:val="BodyText"/>
      </w:pPr>
      <w:r>
        <w:t xml:space="preserve">Assim, o parâmetro</w:t>
      </w:r>
      <w:r>
        <w:t xml:space="preserve"> </w:t>
      </w:r>
      <m:oMath>
        <m:r>
          <m:t>F</m:t>
        </m:r>
        <m:r>
          <m:t>I</m:t>
        </m:r>
      </m:oMath>
      <w:r>
        <w:t xml:space="preserve"> </w:t>
      </w:r>
      <w:r>
        <w:t xml:space="preserve">não corresponde à largura física da infraestrutura nem a um buffer cartográfico exato, mas a um valor de referência simplificado para aproximar a abrangência territorial do empreendimento.</w:t>
      </w:r>
    </w:p>
    <w:p>
      <w:pPr>
        <w:pStyle w:val="BodyText"/>
      </w:pPr>
      <w:r>
        <w:t xml:space="preserve">A calibração dos valores de</w:t>
      </w:r>
      <w:r>
        <w:t xml:space="preserve"> </w:t>
      </w:r>
      <m:oMath>
        <m:r>
          <m:t>F</m:t>
        </m:r>
        <m:r>
          <m:t>I</m:t>
        </m:r>
      </m:oMath>
      <w:r>
        <w:t xml:space="preserve"> </w:t>
      </w:r>
      <w:r>
        <w:t xml:space="preserve">considerou estudo comparativo de sistemas implantados em diferentes cidades e regiões metropolitanas brasileiras. Para os sistemas de alta capacidade, foram observadas redes de metrô e trem urbano em São Paulo, Rio de Janeiro, Brasília, Belo Horizonte, Salvador e Porto Alegre. Para os sistemas de média capacidade, foram considerados exemplos de BRT, VLT e corredores centrais de ônibus em contextos metropolitanos e urbanos distintos. Essa comparação permitiu diferenciar o alcance territorial esperado de cada modal sem transformar o parâmetro em uma delimitação cartográfica rígida.</w:t>
      </w:r>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Tabela 1. Faixa de influência média (FI)</w:t>
      </w:r>
    </w:p>
    <w:p>
      <w:pPr>
        <w:spacing w:before="0" w:after="60"/>
        <w:keepNext/>
        <w:jc w:val="start"/>
        <w:pStyle w:val="caption"/>
      </w:pPr>
      <w:r>
        <w:rPr>
          <w:rFonts w:ascii="Calibri" w:hAnsi="Calibri"/>
          <w:sz w:val="20"/>
          <w:color w:val="333333"/>
        </w:rPr>
        <w:t xml:space="default">Parâmetros sugeridos por tipologia de empreendimento</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Tipologia</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FI (km)</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Metrô</w:t>
            </w:r>
          </w:p>
        </w:tc>
        <w:tc>
          <w:tcPr>
            <w:tcBorders>
              <w:top w:val="single" w:space="0" w:color="D9E2F2"/>
              <w:bottom w:val="single" w:space="0" w:color="D9E2F2"/>
              <w:start w:val="single" w:space="0" w:color="929292"/>
              <w:end w:val="single" w:space="0" w:color="929292"/>
            </w:tcBorders>
            <w:shd w:val="clear" w:color="auto" w:fill="2C5AA0"/>
          </w:tcPr>
          <w:p>
            <w:pPr>
              <w:spacing w:before="0" w:after="60"/>
              <w:keepNext/>
              <w:jc w:val="end"/>
            </w:pPr>
            <w:r>
              <w:rPr>
                <w:rFonts w:ascii="Calibri" w:hAnsi="Calibri"/>
                <w:sz w:val="20"/>
                <w:color w:val="FFFFFF"/>
              </w:rPr>
              <w:t xml:space="default">4,0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Trem urbano</w:t>
            </w:r>
          </w:p>
        </w:tc>
        <w:tc>
          <w:tcPr>
            <w:tcBorders>
              <w:top w:val="single" w:space="0" w:color="D9E2F2"/>
              <w:bottom w:val="single" w:space="0" w:color="D9E2F2"/>
              <w:start w:val="single" w:space="0" w:color="929292"/>
              <w:end w:val="single" w:space="0" w:color="929292"/>
            </w:tcBorders>
            <w:shd w:val="clear" w:color="auto" w:fill="91B8E5"/>
          </w:tcPr>
          <w:p>
            <w:pPr>
              <w:spacing w:before="0" w:after="60"/>
              <w:keepNext/>
              <w:jc w:val="end"/>
            </w:pPr>
            <w:r>
              <w:rPr>
                <w:rFonts w:ascii="Calibri" w:hAnsi="Calibri"/>
                <w:sz w:val="20"/>
                <w:color w:val="000000"/>
              </w:rPr>
              <w:t xml:space="default">2,0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VLT</w:t>
            </w:r>
          </w:p>
        </w:tc>
        <w:tc>
          <w:tcPr>
            <w:tcBorders>
              <w:top w:val="single" w:space="0" w:color="D9E2F2"/>
              <w:bottom w:val="single" w:space="0" w:color="D9E2F2"/>
              <w:start w:val="single" w:space="0" w:color="929292"/>
              <w:end w:val="single" w:space="0" w:color="929292"/>
            </w:tcBorders>
            <w:shd w:val="clear" w:color="auto" w:fill="B1CEF2"/>
          </w:tcPr>
          <w:p>
            <w:pPr>
              <w:spacing w:before="0" w:after="60"/>
              <w:keepNext/>
              <w:jc w:val="end"/>
            </w:pPr>
            <w:r>
              <w:rPr>
                <w:rFonts w:ascii="Calibri" w:hAnsi="Calibri"/>
                <w:sz w:val="20"/>
                <w:color w:val="000000"/>
              </w:rPr>
              <w:t xml:space="default">1,5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BRT</w:t>
            </w:r>
          </w:p>
        </w:tc>
        <w:tc>
          <w:tcPr>
            <w:tcBorders>
              <w:top w:val="single" w:space="0" w:color="D9E2F2"/>
              <w:bottom w:val="single" w:space="0" w:color="D9E2F2"/>
              <w:start w:val="single" w:space="0" w:color="929292"/>
              <w:end w:val="single" w:space="0" w:color="929292"/>
            </w:tcBorders>
            <w:shd w:val="clear" w:color="auto" w:fill="B1CEF2"/>
          </w:tcPr>
          <w:p>
            <w:pPr>
              <w:spacing w:before="0" w:after="60"/>
              <w:keepNext/>
              <w:jc w:val="end"/>
            </w:pPr>
            <w:r>
              <w:rPr>
                <w:rFonts w:ascii="Calibri" w:hAnsi="Calibri"/>
                <w:sz w:val="20"/>
                <w:color w:val="000000"/>
              </w:rPr>
              <w:t xml:space="default">1,5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Corredor de ônibus</w:t>
            </w:r>
          </w:p>
        </w:tc>
        <w:tc>
          <w:tcPr>
            <w:tcBorders>
              <w:top w:val="single" w:space="0" w:color="D9E2F2"/>
              <w:bottom w:val="single" w:space="0" w:color="D9E2F2"/>
              <w:start w:val="single" w:space="0" w:color="929292"/>
              <w:end w:val="single" w:space="0" w:color="929292"/>
            </w:tcBorders>
            <w:shd w:val="clear" w:color="auto" w:fill="C8DCF6"/>
          </w:tcPr>
          <w:p>
            <w:pPr>
              <w:spacing w:before="0" w:after="60"/>
              <w:keepNext/>
              <w:jc w:val="end"/>
            </w:pPr>
            <w:r>
              <w:rPr>
                <w:rFonts w:ascii="Calibri" w:hAnsi="Calibri"/>
                <w:sz w:val="20"/>
                <w:color w:val="000000"/>
              </w:rPr>
              <w:t xml:space="default">1,0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Qualificação viária</w:t>
            </w:r>
          </w:p>
        </w:tc>
        <w:tc>
          <w:tcPr>
            <w:tcBorders>
              <w:top w:val="single" w:space="0" w:color="D9E2F2"/>
              <w:bottom w:val="single" w:space="0" w:color="D9E2F2"/>
              <w:start w:val="single" w:space="0" w:color="929292"/>
              <w:end w:val="single" w:space="0" w:color="929292"/>
            </w:tcBorders>
            <w:shd w:val="clear" w:color="auto" w:fill="C8DCF6"/>
          </w:tcPr>
          <w:p>
            <w:pPr>
              <w:spacing w:before="0" w:after="60"/>
              <w:keepNext/>
              <w:jc w:val="end"/>
            </w:pPr>
            <w:r>
              <w:rPr>
                <w:rFonts w:ascii="Calibri" w:hAnsi="Calibri"/>
                <w:sz w:val="20"/>
                <w:color w:val="000000"/>
              </w:rPr>
              <w:t xml:space="default">1,0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Ciclovia / ciclofaixa</w:t>
            </w:r>
          </w:p>
        </w:tc>
        <w:tc>
          <w:tcPr>
            <w:tcBorders>
              <w:top w:val="single" w:space="0" w:color="D9E2F2"/>
              <w:bottom w:val="single" w:space="0" w:color="D9E2F2"/>
              <w:start w:val="single" w:space="0" w:color="929292"/>
              <w:end w:val="single" w:space="0" w:color="929292"/>
            </w:tcBorders>
            <w:shd w:val="clear" w:color="auto" w:fill="DAE8F9"/>
          </w:tcPr>
          <w:p>
            <w:pPr>
              <w:spacing w:before="0" w:after="60"/>
              <w:keepNext/>
              <w:jc w:val="end"/>
            </w:pPr>
            <w:r>
              <w:rPr>
                <w:rFonts w:ascii="Calibri" w:hAnsi="Calibri"/>
                <w:sz w:val="20"/>
                <w:color w:val="000000"/>
              </w:rPr>
              <w:t xml:space="default">0,6</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Calçada / acessibilidade</w:t>
            </w:r>
          </w:p>
        </w:tc>
        <w:tc>
          <w:tcPr>
            <w:tcBorders>
              <w:top w:val="single" w:space="0" w:color="D9E2F2"/>
              <w:bottom w:val="single" w:space="0" w:color="D9E2F2"/>
              <w:start w:val="single" w:space="0" w:color="929292"/>
              <w:end w:val="single" w:space="0" w:color="929292"/>
            </w:tcBorders>
            <w:shd w:val="clear" w:color="auto" w:fill="E8F1FB"/>
          </w:tcPr>
          <w:p>
            <w:pPr>
              <w:spacing w:before="0" w:after="60"/>
              <w:keepNext/>
              <w:jc w:val="end"/>
            </w:pPr>
            <w:r>
              <w:rPr>
                <w:rFonts w:ascii="Calibri" w:hAnsi="Calibri"/>
                <w:sz w:val="20"/>
                <w:color w:val="000000"/>
              </w:rPr>
              <w:t xml:space="default">0,3</w:t>
            </w:r>
          </w:p>
        </w:tc>
      </w:tr>
    </w:tbl>
    <w:bookmarkEnd w:id="36"/>
    <w:bookmarkStart w:id="37" w:name="fator-de-tipologia-ft"/>
    <w:p>
      <w:pPr>
        <w:pStyle w:val="Heading4"/>
      </w:pPr>
      <w:r>
        <w:t xml:space="preserve">9.3 Fator de tipologia (FT)</w:t>
      </w:r>
    </w:p>
    <w:p>
      <w:pPr>
        <w:pStyle w:val="FirstParagraph"/>
      </w:pPr>
      <w:r>
        <w:t xml:space="preserve">O fator de tipologia expressa a proporção da população potencialmente influenciada que tende a ser efetivamente beneficiada, segundo a natureza do empreendimento e sua capacidade de produzir ganhos concretos de mobilidade.</w:t>
      </w:r>
    </w:p>
    <w:p>
      <w:pPr>
        <w:pStyle w:val="BodyText"/>
      </w:pPr>
      <w:r>
        <w:t xml:space="preserve">Esse parâmetro foi introduzido porque nem toda a população contida na área de influência estimada é beneficiada com a mesma intensidade. Um sistema de média ou alta capacidade, por exemplo, tende a produzir efeitos mais abrangentes e estruturantes do que uma intervenção localizada de qualificação viária ou de acessibilidade.</w:t>
      </w:r>
    </w:p>
    <w:p>
      <w:pPr>
        <w:pStyle w:val="BodyText"/>
      </w:pPr>
      <w:r>
        <w:t xml:space="preserve">Em termos práticos, o</w:t>
      </w:r>
      <w:r>
        <w:t xml:space="preserve"> </w:t>
      </w:r>
      <m:oMath>
        <m:r>
          <m:t>F</m:t>
        </m:r>
        <m:r>
          <m:t>T</m:t>
        </m:r>
      </m:oMath>
      <w:r>
        <w:t xml:space="preserve"> </w:t>
      </w:r>
      <w:r>
        <w:t xml:space="preserve">atua como um redutor ou moderador da população potencialmente contida na área de influência, adequando a estimativa ao potencial de benefício de cada tipologia.</w:t>
      </w:r>
    </w:p>
    <w:p>
      <w:pPr>
        <w:pStyle w:val="BodyText"/>
      </w:pPr>
      <w:r>
        <w:t xml:space="preserve">Os valores de</w:t>
      </w:r>
      <w:r>
        <w:t xml:space="preserve"> </w:t>
      </w:r>
      <m:oMath>
        <m:r>
          <m:t>F</m:t>
        </m:r>
        <m:r>
          <m:t>T</m:t>
        </m:r>
      </m:oMath>
      <w:r>
        <w:t xml:space="preserve"> </w:t>
      </w:r>
      <w:r>
        <w:t xml:space="preserve">foram definidos em conjunto com os parâmetros de</w:t>
      </w:r>
      <w:r>
        <w:t xml:space="preserve"> </w:t>
      </w:r>
      <m:oMath>
        <m:r>
          <m:t>F</m:t>
        </m:r>
        <m:r>
          <m:t>I</m:t>
        </m:r>
      </m:oMath>
      <w:r>
        <w:t xml:space="preserve">, buscando distinguir não apenas o alcance territorial de cada modal, mas também sua capacidade relativa de transformar proximidade espacial em benefício efetivo de mobilidade. Assim, sistemas com maior capacidade, integração e efeito estruturador recebem fatores mais elevados, enquanto intervenções de menor capacidade sistêmica ou de função complementar recebem fatores moderadores.</w:t>
      </w:r>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Tabela 2. Fator de tipologia (FT)</w:t>
      </w:r>
    </w:p>
    <w:p>
      <w:pPr>
        <w:spacing w:before="0" w:after="60"/>
        <w:keepNext/>
        <w:jc w:val="start"/>
        <w:pStyle w:val="caption"/>
      </w:pPr>
      <w:r>
        <w:rPr>
          <w:rFonts w:ascii="Calibri" w:hAnsi="Calibri"/>
          <w:sz w:val="20"/>
          <w:color w:val="333333"/>
        </w:rPr>
        <w:t xml:space="default">Proporção estimada da população potencialmente beneficiada</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Tipologia</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FT</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Metrô</w:t>
            </w:r>
          </w:p>
        </w:tc>
        <w:tc>
          <w:tcPr>
            <w:tcBorders>
              <w:top w:val="single" w:space="0" w:color="D9E2F2"/>
              <w:bottom w:val="single" w:space="0" w:color="D9E2F2"/>
              <w:start w:val="single" w:space="0" w:color="929292"/>
              <w:end w:val="single" w:space="0" w:color="929292"/>
            </w:tcBorders>
            <w:shd w:val="clear" w:color="auto" w:fill="B85C00"/>
          </w:tcPr>
          <w:p>
            <w:pPr>
              <w:spacing w:before="0" w:after="60"/>
              <w:keepNext/>
              <w:jc w:val="end"/>
            </w:pPr>
            <w:r>
              <w:rPr>
                <w:rFonts w:ascii="Calibri" w:hAnsi="Calibri"/>
                <w:sz w:val="20"/>
                <w:color w:val="FFFFFF"/>
              </w:rPr>
              <w:t xml:space="default">1,00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Trem urbano</w:t>
            </w:r>
          </w:p>
        </w:tc>
        <w:tc>
          <w:tcPr>
            <w:tcBorders>
              <w:top w:val="single" w:space="0" w:color="D9E2F2"/>
              <w:bottom w:val="single" w:space="0" w:color="D9E2F2"/>
              <w:start w:val="single" w:space="0" w:color="929292"/>
              <w:end w:val="single" w:space="0" w:color="929292"/>
            </w:tcBorders>
            <w:shd w:val="clear" w:color="auto" w:fill="E38122"/>
          </w:tcPr>
          <w:p>
            <w:pPr>
              <w:spacing w:before="0" w:after="60"/>
              <w:keepNext/>
              <w:jc w:val="end"/>
            </w:pPr>
            <w:r>
              <w:rPr>
                <w:rFonts w:ascii="Calibri" w:hAnsi="Calibri"/>
                <w:sz w:val="20"/>
                <w:color w:val="FFFFFF"/>
              </w:rPr>
              <w:t xml:space="default">0,80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VLT</w:t>
            </w:r>
          </w:p>
        </w:tc>
        <w:tc>
          <w:tcPr>
            <w:tcBorders>
              <w:top w:val="single" w:space="0" w:color="D9E2F2"/>
              <w:bottom w:val="single" w:space="0" w:color="D9E2F2"/>
              <w:start w:val="single" w:space="0" w:color="929292"/>
              <w:end w:val="single" w:space="0" w:color="929292"/>
            </w:tcBorders>
            <w:shd w:val="clear" w:color="auto" w:fill="F7C280"/>
          </w:tcPr>
          <w:p>
            <w:pPr>
              <w:spacing w:before="0" w:after="60"/>
              <w:keepNext/>
              <w:jc w:val="end"/>
            </w:pPr>
            <w:r>
              <w:rPr>
                <w:rFonts w:ascii="Calibri" w:hAnsi="Calibri"/>
                <w:sz w:val="20"/>
                <w:color w:val="000000"/>
              </w:rPr>
              <w:t xml:space="default">0,50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BRT</w:t>
            </w:r>
          </w:p>
        </w:tc>
        <w:tc>
          <w:tcPr>
            <w:tcBorders>
              <w:top w:val="single" w:space="0" w:color="D9E2F2"/>
              <w:bottom w:val="single" w:space="0" w:color="D9E2F2"/>
              <w:start w:val="single" w:space="0" w:color="929292"/>
              <w:end w:val="single" w:space="0" w:color="929292"/>
            </w:tcBorders>
            <w:shd w:val="clear" w:color="auto" w:fill="F7AC5D"/>
          </w:tcPr>
          <w:p>
            <w:pPr>
              <w:spacing w:before="0" w:after="60"/>
              <w:keepNext/>
              <w:jc w:val="end"/>
            </w:pPr>
            <w:r>
              <w:rPr>
                <w:rFonts w:ascii="Calibri" w:hAnsi="Calibri"/>
                <w:sz w:val="20"/>
                <w:color w:val="000000"/>
              </w:rPr>
              <w:t xml:space="default">0,60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Corredor de ônibus</w:t>
            </w:r>
          </w:p>
        </w:tc>
        <w:tc>
          <w:tcPr>
            <w:tcBorders>
              <w:top w:val="single" w:space="0" w:color="D9E2F2"/>
              <w:bottom w:val="single" w:space="0" w:color="D9E2F2"/>
              <w:start w:val="single" w:space="0" w:color="929292"/>
              <w:end w:val="single" w:space="0" w:color="929292"/>
            </w:tcBorders>
            <w:shd w:val="clear" w:color="auto" w:fill="F7C280"/>
          </w:tcPr>
          <w:p>
            <w:pPr>
              <w:spacing w:before="0" w:after="60"/>
              <w:keepNext/>
              <w:jc w:val="end"/>
            </w:pPr>
            <w:r>
              <w:rPr>
                <w:rFonts w:ascii="Calibri" w:hAnsi="Calibri"/>
                <w:sz w:val="20"/>
                <w:color w:val="000000"/>
              </w:rPr>
              <w:t xml:space="default">0,50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Qualificação viária</w:t>
            </w:r>
          </w:p>
        </w:tc>
        <w:tc>
          <w:tcPr>
            <w:tcBorders>
              <w:top w:val="single" w:space="0" w:color="D9E2F2"/>
              <w:bottom w:val="single" w:space="0" w:color="D9E2F2"/>
              <w:start w:val="single" w:space="0" w:color="929292"/>
              <w:end w:val="single" w:space="0" w:color="929292"/>
            </w:tcBorders>
            <w:shd w:val="clear" w:color="auto" w:fill="FAD3A2"/>
          </w:tcPr>
          <w:p>
            <w:pPr>
              <w:spacing w:before="0" w:after="60"/>
              <w:keepNext/>
              <w:jc w:val="end"/>
            </w:pPr>
            <w:r>
              <w:rPr>
                <w:rFonts w:ascii="Calibri" w:hAnsi="Calibri"/>
                <w:sz w:val="20"/>
                <w:color w:val="000000"/>
              </w:rPr>
              <w:t xml:space="default">0,40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Ciclovia / ciclofaixa</w:t>
            </w:r>
          </w:p>
        </w:tc>
        <w:tc>
          <w:tcPr>
            <w:tcBorders>
              <w:top w:val="single" w:space="0" w:color="D9E2F2"/>
              <w:bottom w:val="single" w:space="0" w:color="D9E2F2"/>
              <w:start w:val="single" w:space="0" w:color="929292"/>
              <w:end w:val="single" w:space="0" w:color="929292"/>
            </w:tcBorders>
            <w:shd w:val="clear" w:color="auto" w:fill="FDF3E7"/>
          </w:tcPr>
          <w:p>
            <w:pPr>
              <w:spacing w:before="0" w:after="60"/>
              <w:keepNext/>
              <w:jc w:val="end"/>
            </w:pPr>
            <w:r>
              <w:rPr>
                <w:rFonts w:ascii="Calibri" w:hAnsi="Calibri"/>
                <w:sz w:val="20"/>
                <w:color w:val="000000"/>
              </w:rPr>
              <w:t xml:space="default">0,20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Calçada / acessibilidade</w:t>
            </w:r>
          </w:p>
        </w:tc>
        <w:tc>
          <w:tcPr>
            <w:tcBorders>
              <w:top w:val="single" w:space="0" w:color="D9E2F2"/>
              <w:bottom w:val="single" w:space="0" w:color="D9E2F2"/>
              <w:start w:val="single" w:space="0" w:color="929292"/>
              <w:end w:val="single" w:space="0" w:color="929292"/>
            </w:tcBorders>
            <w:shd w:val="clear" w:color="auto" w:fill="FCE3C4"/>
          </w:tcPr>
          <w:p>
            <w:pPr>
              <w:spacing w:before="0" w:after="60"/>
              <w:keepNext/>
              <w:jc w:val="end"/>
            </w:pPr>
            <w:r>
              <w:rPr>
                <w:rFonts w:ascii="Calibri" w:hAnsi="Calibri"/>
                <w:sz w:val="20"/>
                <w:color w:val="000000"/>
              </w:rPr>
              <w:t xml:space="default">0,30</w:t>
            </w:r>
          </w:p>
        </w:tc>
      </w:tr>
    </w:tbl>
    <w:bookmarkEnd w:id="37"/>
    <w:bookmarkStart w:id="38" w:name="X7bd3aab261e66f78271b56d63186082e40af372"/>
    <w:p>
      <w:pPr>
        <w:pStyle w:val="Heading4"/>
      </w:pPr>
      <w:r>
        <w:t xml:space="preserve">9.3.1 Justificativa dos parâmetros por grupo modal</w:t>
      </w:r>
    </w:p>
    <w:p>
      <w:pPr>
        <w:pStyle w:val="FirstParagraph"/>
      </w:pPr>
      <w:r>
        <w:t xml:space="preserve">Os parâmetros de</w:t>
      </w:r>
      <w:r>
        <w:t xml:space="preserve"> </w:t>
      </w:r>
      <m:oMath>
        <m:r>
          <m:t>F</m:t>
        </m:r>
        <m:r>
          <m:t>I</m:t>
        </m:r>
      </m:oMath>
      <w:r>
        <w:t xml:space="preserve"> </w:t>
      </w:r>
      <w:r>
        <w:t xml:space="preserve">e</w:t>
      </w:r>
      <w:r>
        <w:t xml:space="preserve"> </w:t>
      </w:r>
      <m:oMath>
        <m:r>
          <m:t>F</m:t>
        </m:r>
        <m:r>
          <m:t>T</m:t>
        </m:r>
      </m:oMath>
      <w:r>
        <w:t xml:space="preserve"> </w:t>
      </w:r>
      <w:r>
        <w:t xml:space="preserve">para transporte público coletivo foram consolidados a partir de estudo comparativo dos principais sistemas em operação no Brasil, considerando diferenças de capacidade, inserção urbana, integração tarifária e física, espaçamento entre estações ou paradas, papel metropolitano e efeito de rede. A tabela de parâmetros não pretende reproduzir a demanda observada de cada sistema específico, mas estabelecer valores de referência aplicáveis de forma padronizada à carteira.</w:t>
      </w:r>
    </w:p>
    <w:p>
      <w:pPr>
        <w:pStyle w:val="BodyText"/>
      </w:pPr>
      <w:r>
        <w:rPr>
          <w:b/>
          <w:bCs/>
        </w:rPr>
        <w:t xml:space="preserve">Metrô —</w:t>
      </w:r>
      <w:r>
        <w:rPr>
          <w:b/>
          <w:bCs/>
        </w:rPr>
        <w:t xml:space="preserve"> </w:t>
      </w:r>
      <m:oMath>
        <m:r>
          <m:t>F</m:t>
        </m:r>
        <m:r>
          <m:t>I</m:t>
        </m:r>
        <m:r>
          <m:rPr>
            <m:sty m:val="p"/>
          </m:rPr>
          <m:t>=</m:t>
        </m:r>
        <m:r>
          <m:t>4</m:t>
        </m:r>
        <m:r>
          <m:rPr>
            <m:sty m:val="p"/>
          </m:rPr>
          <m:t>,</m:t>
        </m:r>
        <m:r>
          <m:t>0</m:t>
        </m:r>
      </m:oMath>
      <w:r>
        <w:rPr>
          <w:b/>
          <w:bCs/>
        </w:rPr>
        <w:t xml:space="preserve"> </w:t>
      </w:r>
      <w:r>
        <w:rPr>
          <w:b/>
          <w:bCs/>
        </w:rPr>
        <w:t xml:space="preserve">km e</w:t>
      </w:r>
      <w:r>
        <w:rPr>
          <w:b/>
          <w:bCs/>
        </w:rPr>
        <w:t xml:space="preserve"> </w:t>
      </w:r>
      <m:oMath>
        <m:r>
          <m:t>F</m:t>
        </m:r>
        <m:r>
          <m:t>T</m:t>
        </m:r>
        <m:r>
          <m:rPr>
            <m:sty m:val="p"/>
          </m:rPr>
          <m:t>=</m:t>
        </m:r>
        <m:r>
          <m:t>1</m:t>
        </m:r>
        <m:r>
          <m:rPr>
            <m:sty m:val="p"/>
          </m:rPr>
          <m:t>,</m:t>
        </m:r>
        <m:r>
          <m:t>00</m:t>
        </m:r>
      </m:oMath>
      <w:r>
        <w:rPr>
          <w:b/>
          <w:bCs/>
        </w:rPr>
        <w:t xml:space="preserve">.</w:t>
      </w:r>
      <w:r>
        <w:t xml:space="preserve"> </w:t>
      </w:r>
      <w:r>
        <w:t xml:space="preserve">O metrô foi adotado como referência superior da metodologia em razão de sua elevada capacidade de transporte, frequência operacional e papel de estruturador primário do território. Nos sistemas de São Paulo e Rio de Janeiro, considerou-se o efeito de rede produzido por múltiplas linhas integradas, que amplia possibilidades de destino e aumenta a atratividade das estações. O caso de São Paulo foi usado como baliza de capacidade, com cuidado para que sua densidade de conexões não elevasse artificialmente o parâmetro esperado para outros contextos. Também foram consideradas especificidades como o traçado em tronco comum e ramificação em</w:t>
      </w:r>
      <w:r>
        <w:t xml:space="preserve"> </w:t>
      </w:r>
      <w:r>
        <w:t xml:space="preserve">“Y”</w:t>
      </w:r>
      <w:r>
        <w:t xml:space="preserve"> </w:t>
      </w:r>
      <w:r>
        <w:t xml:space="preserve">no Distrito Federal, além da capacidade das estações em Belo Horizonte e Salvador de atrair passageiros a partir de centralidades urbanas e alimentação multimodal.</w:t>
      </w:r>
    </w:p>
    <w:p>
      <w:pPr>
        <w:pStyle w:val="BodyText"/>
      </w:pPr>
      <w:r>
        <w:rPr>
          <w:b/>
          <w:bCs/>
        </w:rPr>
        <w:t xml:space="preserve">Trem urbano —</w:t>
      </w:r>
      <w:r>
        <w:rPr>
          <w:b/>
          <w:bCs/>
        </w:rPr>
        <w:t xml:space="preserve"> </w:t>
      </w:r>
      <m:oMath>
        <m:r>
          <m:t>F</m:t>
        </m:r>
        <m:r>
          <m:t>I</m:t>
        </m:r>
        <m:r>
          <m:rPr>
            <m:sty m:val="p"/>
          </m:rPr>
          <m:t>=</m:t>
        </m:r>
        <m:r>
          <m:t>2</m:t>
        </m:r>
        <m:r>
          <m:rPr>
            <m:sty m:val="p"/>
          </m:rPr>
          <m:t>,</m:t>
        </m:r>
        <m:r>
          <m:t>0</m:t>
        </m:r>
      </m:oMath>
      <w:r>
        <w:rPr>
          <w:b/>
          <w:bCs/>
        </w:rPr>
        <w:t xml:space="preserve"> </w:t>
      </w:r>
      <w:r>
        <w:rPr>
          <w:b/>
          <w:bCs/>
        </w:rPr>
        <w:t xml:space="preserve">km e</w:t>
      </w:r>
      <w:r>
        <w:rPr>
          <w:b/>
          <w:bCs/>
        </w:rPr>
        <w:t xml:space="preserve"> </w:t>
      </w:r>
      <m:oMath>
        <m:r>
          <m:t>F</m:t>
        </m:r>
        <m:r>
          <m:t>T</m:t>
        </m:r>
        <m:r>
          <m:rPr>
            <m:sty m:val="p"/>
          </m:rPr>
          <m:t>=</m:t>
        </m:r>
        <m:r>
          <m:t>0</m:t>
        </m:r>
        <m:r>
          <m:rPr>
            <m:sty m:val="p"/>
          </m:rPr>
          <m:t>,</m:t>
        </m:r>
        <m:r>
          <m:t>80</m:t>
        </m:r>
      </m:oMath>
      <w:r>
        <w:rPr>
          <w:b/>
          <w:bCs/>
        </w:rPr>
        <w:t xml:space="preserve">.</w:t>
      </w:r>
      <w:r>
        <w:t xml:space="preserve"> </w:t>
      </w:r>
      <w:r>
        <w:t xml:space="preserve">Embora também seja um sistema de alta capacidade, o trem urbano apresenta dinâmica territorial distinta da do metrô. Em sistemas como CPTM, SuperVia e Trensurb, a operação tende a ocorrer em faixas de domínio mais segregadas, com maior distância média entre estações e, em muitos trechos, menor concentração de empregos e serviços no entorno imediato. Por isso, a área de influência direta foi fixada em patamar inferior ao do metrô. O</w:t>
      </w:r>
      <w:r>
        <w:t xml:space="preserve"> </w:t>
      </w:r>
      <m:oMath>
        <m:r>
          <m:t>F</m:t>
        </m:r>
        <m:r>
          <m:t>T</m:t>
        </m:r>
        <m:r>
          <m:rPr>
            <m:sty m:val="p"/>
          </m:rPr>
          <m:t>=</m:t>
        </m:r>
        <m:r>
          <m:t>0</m:t>
        </m:r>
        <m:r>
          <m:rPr>
            <m:sty m:val="p"/>
          </m:rPr>
          <m:t>,</m:t>
        </m:r>
        <m:r>
          <m:t>80</m:t>
        </m:r>
      </m:oMath>
      <w:r>
        <w:t xml:space="preserve"> </w:t>
      </w:r>
      <w:r>
        <w:t xml:space="preserve">reflete, de forma agregada, intervalos operacionais geralmente maiores, menor capilaridade urbana e densidade de atendimento ligeiramente inferior à dos sistemas metroviários, sem deixar de reconhecer seu papel estruturante metropolitano e sua função de integração com outras redes.</w:t>
      </w:r>
    </w:p>
    <w:p>
      <w:pPr>
        <w:pStyle w:val="BodyText"/>
      </w:pPr>
      <w:r>
        <w:rPr>
          <w:b/>
          <w:bCs/>
        </w:rPr>
        <w:t xml:space="preserve">BRT —</w:t>
      </w:r>
      <w:r>
        <w:rPr>
          <w:b/>
          <w:bCs/>
        </w:rPr>
        <w:t xml:space="preserve"> </w:t>
      </w:r>
      <m:oMath>
        <m:r>
          <m:t>F</m:t>
        </m:r>
        <m:r>
          <m:t>I</m:t>
        </m:r>
        <m:r>
          <m:rPr>
            <m:sty m:val="p"/>
          </m:rPr>
          <m:t>=</m:t>
        </m:r>
        <m:r>
          <m:t>1</m:t>
        </m:r>
        <m:r>
          <m:rPr>
            <m:sty m:val="p"/>
          </m:rPr>
          <m:t>,</m:t>
        </m:r>
        <m:r>
          <m:t>5</m:t>
        </m:r>
      </m:oMath>
      <w:r>
        <w:rPr>
          <w:b/>
          <w:bCs/>
        </w:rPr>
        <w:t xml:space="preserve"> </w:t>
      </w:r>
      <w:r>
        <w:rPr>
          <w:b/>
          <w:bCs/>
        </w:rPr>
        <w:t xml:space="preserve">km e</w:t>
      </w:r>
      <w:r>
        <w:rPr>
          <w:b/>
          <w:bCs/>
        </w:rPr>
        <w:t xml:space="preserve"> </w:t>
      </w:r>
      <m:oMath>
        <m:r>
          <m:t>F</m:t>
        </m:r>
        <m:r>
          <m:t>T</m:t>
        </m:r>
        <m:r>
          <m:rPr>
            <m:sty m:val="p"/>
          </m:rPr>
          <m:t>=</m:t>
        </m:r>
        <m:r>
          <m:t>0</m:t>
        </m:r>
        <m:r>
          <m:rPr>
            <m:sty m:val="p"/>
          </m:rPr>
          <m:t>,</m:t>
        </m:r>
        <m:r>
          <m:t>60</m:t>
        </m:r>
      </m:oMath>
      <w:r>
        <w:rPr>
          <w:b/>
          <w:bCs/>
        </w:rPr>
        <w:t xml:space="preserve">.</w:t>
      </w:r>
      <w:r>
        <w:t xml:space="preserve"> </w:t>
      </w:r>
      <w:r>
        <w:t xml:space="preserve">Os parâmetros do BRT refletem a eficiência gerada por segregação viária, troncalização e integração física ou tarifária. Foram considerados sistemas como Rio de Janeiro, Recife e Curitiba, que combinam eixos de alta demanda, corredores metropolitanos saturados e histórico de integração operacional. O</w:t>
      </w:r>
      <w:r>
        <w:t xml:space="preserve"> </w:t>
      </w:r>
      <m:oMath>
        <m:r>
          <m:t>F</m:t>
        </m:r>
        <m:r>
          <m:t>T</m:t>
        </m:r>
        <m:r>
          <m:rPr>
            <m:sty m:val="p"/>
          </m:rPr>
          <m:t>=</m:t>
        </m:r>
        <m:r>
          <m:t>0</m:t>
        </m:r>
        <m:r>
          <m:rPr>
            <m:sty m:val="p"/>
          </m:rPr>
          <m:t>,</m:t>
        </m:r>
        <m:r>
          <m:t>60</m:t>
        </m:r>
      </m:oMath>
      <w:r>
        <w:t xml:space="preserve"> </w:t>
      </w:r>
      <w:r>
        <w:t xml:space="preserve">posiciona o BRT como modal de média capacidade com alta capilaridade e desempenho superior ao corredor convencional, mas ainda abaixo dos sistemas sobre trilhos de maior capacidade.</w:t>
      </w:r>
    </w:p>
    <w:p>
      <w:pPr>
        <w:pStyle w:val="BodyText"/>
      </w:pPr>
      <w:r>
        <w:rPr>
          <w:b/>
          <w:bCs/>
        </w:rPr>
        <w:t xml:space="preserve">VLT —</w:t>
      </w:r>
      <w:r>
        <w:rPr>
          <w:b/>
          <w:bCs/>
        </w:rPr>
        <w:t xml:space="preserve"> </w:t>
      </w:r>
      <m:oMath>
        <m:r>
          <m:t>F</m:t>
        </m:r>
        <m:r>
          <m:t>I</m:t>
        </m:r>
        <m:r>
          <m:rPr>
            <m:sty m:val="p"/>
          </m:rPr>
          <m:t>=</m:t>
        </m:r>
        <m:r>
          <m:t>1</m:t>
        </m:r>
        <m:r>
          <m:rPr>
            <m:sty m:val="p"/>
          </m:rPr>
          <m:t>,</m:t>
        </m:r>
        <m:r>
          <m:t>5</m:t>
        </m:r>
      </m:oMath>
      <w:r>
        <w:rPr>
          <w:b/>
          <w:bCs/>
        </w:rPr>
        <w:t xml:space="preserve"> </w:t>
      </w:r>
      <w:r>
        <w:rPr>
          <w:b/>
          <w:bCs/>
        </w:rPr>
        <w:t xml:space="preserve">km e</w:t>
      </w:r>
      <w:r>
        <w:rPr>
          <w:b/>
          <w:bCs/>
        </w:rPr>
        <w:t xml:space="preserve"> </w:t>
      </w:r>
      <m:oMath>
        <m:r>
          <m:t>F</m:t>
        </m:r>
        <m:r>
          <m:t>T</m:t>
        </m:r>
        <m:r>
          <m:rPr>
            <m:sty m:val="p"/>
          </m:rPr>
          <m:t>=</m:t>
        </m:r>
        <m:r>
          <m:t>0</m:t>
        </m:r>
        <m:r>
          <m:rPr>
            <m:sty m:val="p"/>
          </m:rPr>
          <m:t>,</m:t>
        </m:r>
        <m:r>
          <m:t>50</m:t>
        </m:r>
      </m:oMath>
      <w:r>
        <w:rPr>
          <w:b/>
          <w:bCs/>
        </w:rPr>
        <w:t xml:space="preserve">.</w:t>
      </w:r>
      <w:r>
        <w:t xml:space="preserve"> </w:t>
      </w:r>
      <w:r>
        <w:t xml:space="preserve">O VLT compartilha com o BRT uma faixa de influência de referência de 1,5 km, mas sua função observada nos sistemas brasileiros tende a ser mais complementar e associada à requalificação urbana, à integração local e à circulação em áreas centrais ou de alta densidade de atividades. Foram considerados exemplos como Baixada Santista, VLT Carioca e Teresina, este último enquadrado tecnicamente como VLT para fins de coerência metodológica, ainda que receba denominação local distinta. O fator de tipologia de 0,50 reflete a capacidade intermediária das composições e velocidades comerciais compatíveis com áreas urbanas consolidadas, patrimônio edificado e circulação de pedestres.</w:t>
      </w:r>
    </w:p>
    <w:p>
      <w:pPr>
        <w:pStyle w:val="BodyText"/>
      </w:pPr>
      <w:r>
        <w:rPr>
          <w:b/>
          <w:bCs/>
        </w:rPr>
        <w:t xml:space="preserve">Corredor de ônibus —</w:t>
      </w:r>
      <w:r>
        <w:rPr>
          <w:b/>
          <w:bCs/>
        </w:rPr>
        <w:t xml:space="preserve"> </w:t>
      </w:r>
      <m:oMath>
        <m:r>
          <m:t>F</m:t>
        </m:r>
        <m:r>
          <m:t>I</m:t>
        </m:r>
        <m:r>
          <m:rPr>
            <m:sty m:val="p"/>
          </m:rPr>
          <m:t>=</m:t>
        </m:r>
        <m:r>
          <m:t>1</m:t>
        </m:r>
        <m:r>
          <m:rPr>
            <m:sty m:val="p"/>
          </m:rPr>
          <m:t>,</m:t>
        </m:r>
        <m:r>
          <m:t>0</m:t>
        </m:r>
      </m:oMath>
      <w:r>
        <w:rPr>
          <w:b/>
          <w:bCs/>
        </w:rPr>
        <w:t xml:space="preserve"> </w:t>
      </w:r>
      <w:r>
        <w:rPr>
          <w:b/>
          <w:bCs/>
        </w:rPr>
        <w:t xml:space="preserve">km e</w:t>
      </w:r>
      <w:r>
        <w:rPr>
          <w:b/>
          <w:bCs/>
        </w:rPr>
        <w:t xml:space="preserve"> </w:t>
      </w:r>
      <m:oMath>
        <m:r>
          <m:t>F</m:t>
        </m:r>
        <m:r>
          <m:t>T</m:t>
        </m:r>
        <m:r>
          <m:rPr>
            <m:sty m:val="p"/>
          </m:rPr>
          <m:t>=</m:t>
        </m:r>
        <m:r>
          <m:t>0</m:t>
        </m:r>
        <m:r>
          <m:rPr>
            <m:sty m:val="p"/>
          </m:rPr>
          <m:t>,</m:t>
        </m:r>
        <m:r>
          <m:t>50</m:t>
        </m:r>
      </m:oMath>
      <w:r>
        <w:rPr>
          <w:b/>
          <w:bCs/>
        </w:rPr>
        <w:t xml:space="preserve">.</w:t>
      </w:r>
      <w:r>
        <w:t xml:space="preserve"> </w:t>
      </w:r>
      <w:r>
        <w:t xml:space="preserve">Para corredores centrais convencionais, com faixas exclusivas ou tratamento prioritário de pista, a influência territorial tende a se concentrar em faixa mais próxima ao eixo viário, em razão de paradas mais frequentes e menor efeito de rede estruturante em comparação com sistemas segregados de maior capacidade. O</w:t>
      </w:r>
      <w:r>
        <w:t xml:space="preserve"> </w:t>
      </w:r>
      <m:oMath>
        <m:r>
          <m:t>F</m:t>
        </m:r>
        <m:r>
          <m:t>T</m:t>
        </m:r>
        <m:r>
          <m:rPr>
            <m:sty m:val="p"/>
          </m:rPr>
          <m:t>=</m:t>
        </m:r>
        <m:r>
          <m:t>0</m:t>
        </m:r>
        <m:r>
          <m:rPr>
            <m:sty m:val="p"/>
          </m:rPr>
          <m:t>,</m:t>
        </m:r>
        <m:r>
          <m:t>50</m:t>
        </m:r>
      </m:oMath>
      <w:r>
        <w:t xml:space="preserve"> </w:t>
      </w:r>
      <w:r>
        <w:t xml:space="preserve">reconhece sua relevância para a circulação urbana e sua proximidade funcional com o VLT em termos de benefício potencial por pessoa alcançada, mas com área de influência territorial mais restrita.</w:t>
      </w:r>
    </w:p>
    <w:bookmarkEnd w:id="38"/>
    <w:bookmarkStart w:id="39" w:name="fator-de-complexidade-do-investimento-fc"/>
    <w:p>
      <w:pPr>
        <w:pStyle w:val="Heading4"/>
      </w:pPr>
      <w:r>
        <w:t xml:space="preserve">9.4 Fator de complexidade do investimento (FC)</w:t>
      </w:r>
    </w:p>
    <w:p>
      <w:pPr>
        <w:pStyle w:val="FirstParagraph"/>
      </w:pPr>
      <w:r>
        <w:t xml:space="preserve">O fator de complexidade do investimento (</w:t>
      </w:r>
      <m:oMath>
        <m:r>
          <m:t>F</m:t>
        </m:r>
        <m:r>
          <m:t>C</m:t>
        </m:r>
      </m:oMath>
      <w:r>
        <w:t xml:space="preserve">) tem por finalidade ajustar a estimativa da população beneficiada conforme a robustez relativa da intervenção, a partir da comparação entre o investimento por quilômetro do empreendimento e o valor de referência da respectiva tipologia.</w:t>
      </w:r>
    </w:p>
    <w:p>
      <w:pPr>
        <w:pStyle w:val="BodyText"/>
      </w:pPr>
      <w:r>
        <w:t xml:space="preserve">Para esse fim, calcula-se inicialmente o investimento por quilômetro do empreendimento, mediante a razão entre o valor total investido e a extensão da obra.</w:t>
      </w:r>
    </w:p>
    <w:p>
      <w:pPr>
        <w:pStyle w:val="BodyText"/>
      </w:pPr>
      <w:r>
        <w:t xml:space="preserve">O termo</w:t>
      </w:r>
      <w:r>
        <w:t xml:space="preserve"> </w:t>
      </w:r>
      <m:oMath>
        <m:r>
          <m:t>I</m:t>
        </m:r>
        <m:r>
          <m:t>N</m:t>
        </m:r>
        <m:sSub>
          <m:e>
            <m:r>
              <m:t>V</m:t>
            </m:r>
          </m:e>
          <m:sub>
            <m:r>
              <m:t>k</m:t>
            </m:r>
            <m:r>
              <m:t>m</m:t>
            </m:r>
          </m:sub>
        </m:sSub>
      </m:oMath>
      <w:r>
        <w:t xml:space="preserve"> </w:t>
      </w:r>
      <w:r>
        <w:t xml:space="preserve">corresponde ao investimento por quilômetro do empreendimento, obtido pela expressão:</w:t>
      </w:r>
    </w:p>
    <w:p>
      <w:pPr>
        <w:pStyle w:val="BodyText"/>
      </w:pPr>
      <m:oMathPara>
        <m:oMathParaPr>
          <m:jc m:val="center"/>
        </m:oMathParaPr>
        <m:oMath>
          <m:r>
            <m:t>I</m:t>
          </m:r>
          <m:r>
            <m:t>N</m:t>
          </m:r>
          <m:sSub>
            <m:e>
              <m:r>
                <m:t>V</m:t>
              </m:r>
            </m:e>
            <m:sub>
              <m:r>
                <m:t>k</m:t>
              </m:r>
              <m:r>
                <m:t>m</m:t>
              </m:r>
            </m:sub>
          </m:sSub>
          <m:r>
            <m:rPr>
              <m:sty m:val="p"/>
            </m:rPr>
            <m:t>=</m:t>
          </m:r>
          <m:f>
            <m:fPr>
              <m:type m:val="bar"/>
            </m:fPr>
            <m:num>
              <m:r>
                <m:t>I</m:t>
              </m:r>
              <m:r>
                <m:t>N</m:t>
              </m:r>
              <m:r>
                <m:t>V</m:t>
              </m:r>
            </m:num>
            <m:den>
              <m:r>
                <m:t>K</m:t>
              </m:r>
              <m:r>
                <m:t>M</m:t>
              </m:r>
            </m:den>
          </m:f>
        </m:oMath>
      </m:oMathPara>
    </w:p>
    <w:p>
      <w:pPr>
        <w:pStyle w:val="FirstParagraph"/>
      </w:pPr>
      <w:r>
        <w:t xml:space="preserve">Onde:</w:t>
      </w:r>
    </w:p>
    <w:p>
      <w:pPr>
        <w:pStyle w:val="Compact"/>
        <w:numPr>
          <w:ilvl w:val="0"/>
          <w:numId w:val="1009"/>
        </w:numPr>
      </w:pPr>
      <m:oMath>
        <m:r>
          <m:t>I</m:t>
        </m:r>
        <m:r>
          <m:t>N</m:t>
        </m:r>
        <m:sSub>
          <m:e>
            <m:r>
              <m:t>V</m:t>
            </m:r>
          </m:e>
          <m:sub>
            <m:r>
              <m:t>k</m:t>
            </m:r>
            <m:r>
              <m:t>m</m:t>
            </m:r>
          </m:sub>
        </m:sSub>
      </m:oMath>
      <w:r>
        <w:t xml:space="preserve"> </w:t>
      </w:r>
      <w:r>
        <w:t xml:space="preserve">= investimento por quilômetro do empreendimento;</w:t>
      </w:r>
    </w:p>
    <w:p>
      <w:pPr>
        <w:pStyle w:val="Compact"/>
        <w:numPr>
          <w:ilvl w:val="0"/>
          <w:numId w:val="1009"/>
        </w:numPr>
      </w:pPr>
      <m:oMath>
        <m:r>
          <m:t>I</m:t>
        </m:r>
        <m:r>
          <m:t>N</m:t>
        </m:r>
        <m:r>
          <m:t>V</m:t>
        </m:r>
      </m:oMath>
      <w:r>
        <w:t xml:space="preserve"> </w:t>
      </w:r>
      <w:r>
        <w:t xml:space="preserve">= valor total do investimento; e</w:t>
      </w:r>
    </w:p>
    <w:p>
      <w:pPr>
        <w:pStyle w:val="Compact"/>
        <w:numPr>
          <w:ilvl w:val="0"/>
          <w:numId w:val="1009"/>
        </w:numPr>
      </w:pPr>
      <m:oMath>
        <m:r>
          <m:t>K</m:t>
        </m:r>
        <m:r>
          <m:t>M</m:t>
        </m:r>
      </m:oMath>
      <w:r>
        <w:t xml:space="preserve"> </w:t>
      </w:r>
      <w:r>
        <w:t xml:space="preserve">= extensão da obra, em quilômetros.</w:t>
      </w:r>
    </w:p>
    <w:p>
      <w:pPr>
        <w:pStyle w:val="FirstParagraph"/>
      </w:pPr>
      <w:r>
        <w:t xml:space="preserve">Em seguida, esse resultado é comparado ao valor de referência da tipologia, definido, para fins desta metodologia, pela</w:t>
      </w:r>
      <w:r>
        <w:t xml:space="preserve"> </w:t>
      </w:r>
      <w:r>
        <w:rPr>
          <w:b/>
          <w:bCs/>
        </w:rPr>
        <w:t xml:space="preserve">mediana</w:t>
      </w:r>
      <w:r>
        <w:t xml:space="preserve"> </w:t>
      </w:r>
      <w:r>
        <w:t xml:space="preserve">do investimento por quilômetro observada no conjunto de empreendimentos da mesma modalidade.</w:t>
      </w:r>
    </w:p>
    <w:p>
      <w:pPr>
        <w:pStyle w:val="BodyText"/>
      </w:pPr>
      <m:oMathPara>
        <m:oMathParaPr>
          <m:jc m:val="center"/>
        </m:oMathParaPr>
        <m:oMath>
          <m:r>
            <m:t>I</m:t>
          </m:r>
          <m:r>
            <m:t>N</m:t>
          </m:r>
          <m:sSub>
            <m:e>
              <m:r>
                <m:t>V</m:t>
              </m:r>
            </m:e>
            <m:sub>
              <m:r>
                <m:t>r</m:t>
              </m:r>
              <m:r>
                <m:t>e</m:t>
              </m:r>
              <m:r>
                <m:t>f</m:t>
              </m:r>
              <m:r>
                <m:rPr>
                  <m:sty m:val="p"/>
                </m:rPr>
                <m:t>,</m:t>
              </m:r>
              <m:r>
                <m:t>t</m:t>
              </m:r>
              <m:r>
                <m:t>i</m:t>
              </m:r>
              <m:r>
                <m:t>p</m:t>
              </m:r>
            </m:sub>
          </m:sSub>
          <m:r>
            <m:rPr>
              <m:sty m:val="p"/>
            </m:rPr>
            <m:t>=</m:t>
          </m:r>
          <m:r>
            <m:rPr>
              <m:sty m:val="p"/>
            </m:rPr>
            <m:t>m</m:t>
          </m:r>
          <m:r>
            <m:rPr>
              <m:sty m:val="p"/>
            </m:rPr>
            <m:t>e</m:t>
          </m:r>
          <m:r>
            <m:rPr>
              <m:sty m:val="p"/>
            </m:rPr>
            <m:t>d</m:t>
          </m:r>
          <m:r>
            <m:rPr>
              <m:sty m:val="p"/>
            </m:rPr>
            <m:t>i</m:t>
          </m:r>
          <m:r>
            <m:rPr>
              <m:sty m:val="p"/>
            </m:rPr>
            <m:t>a</m:t>
          </m:r>
          <m:r>
            <m:rPr>
              <m:sty m:val="p"/>
            </m:rPr>
            <m:t>n</m:t>
          </m:r>
          <m:r>
            <m:rPr>
              <m:sty m:val="p"/>
            </m:rPr>
            <m:t>a</m:t>
          </m:r>
          <m:r>
            <m:rPr>
              <m:sty m:val="p"/>
            </m:rPr>
            <m:t>(</m:t>
          </m:r>
          <m:r>
            <m:t>I</m:t>
          </m:r>
          <m:r>
            <m:t>N</m:t>
          </m:r>
          <m:sSub>
            <m:e>
              <m:r>
                <m:t>V</m:t>
              </m:r>
            </m:e>
            <m:sub>
              <m:r>
                <m:t>k</m:t>
              </m:r>
              <m:r>
                <m:t>m</m:t>
              </m:r>
            </m:sub>
          </m:sSub>
          <m:r>
            <m:rPr>
              <m:sty m:val="p"/>
            </m:rPr>
            <m:t>)</m:t>
          </m:r>
        </m:oMath>
      </m:oMathPara>
    </w:p>
    <w:p>
      <w:pPr>
        <w:pStyle w:val="FirstParagraph"/>
      </w:pPr>
      <w:r>
        <w:t xml:space="preserve">A escolha da mediana como valor de referência decorre de sua maior robustez em relação a valores extremos, evitando que empreendimentos atípicos distorçam a classificação das demais intervenções.</w:t>
      </w:r>
    </w:p>
    <w:p>
      <w:pPr>
        <w:pStyle w:val="BodyText"/>
      </w:pPr>
      <w:r>
        <w:t xml:space="preserve">Para fins de aplicação desta metodologia, adotou-se as seguintes faixas de classificação:</w:t>
      </w:r>
    </w:p>
    <w:p>
      <w:pPr>
        <w:pStyle w:val="Compact"/>
        <w:numPr>
          <w:ilvl w:val="0"/>
          <w:numId w:val="1010"/>
        </w:numPr>
      </w:pPr>
      <w:r>
        <w:rPr>
          <w:b/>
          <w:bCs/>
        </w:rPr>
        <w:t xml:space="preserve">baixa intensidade</w:t>
      </w:r>
      <w:r>
        <w:t xml:space="preserve">, quando o investimento por quilômetro do empreendimento for inferior a 80% da mediana da tipologia, caso em que se atribui</w:t>
      </w:r>
      <w:r>
        <w:t xml:space="preserve"> </w:t>
      </w:r>
      <m:oMath>
        <m:r>
          <m:t>F</m:t>
        </m:r>
        <m:r>
          <m:t>C</m:t>
        </m:r>
        <m:r>
          <m:rPr>
            <m:sty m:val="p"/>
          </m:rPr>
          <m:t>=</m:t>
        </m:r>
        <m:r>
          <m:t>0</m:t>
        </m:r>
        <m:r>
          <m:rPr>
            <m:sty m:val="p"/>
          </m:rPr>
          <m:t>,</m:t>
        </m:r>
        <m:r>
          <m:t>85</m:t>
        </m:r>
      </m:oMath>
      <w:r>
        <w:t xml:space="preserve">;</w:t>
      </w:r>
    </w:p>
    <w:p>
      <w:pPr>
        <w:pStyle w:val="Compact"/>
        <w:numPr>
          <w:ilvl w:val="0"/>
          <w:numId w:val="1010"/>
        </w:numPr>
      </w:pPr>
      <w:r>
        <w:rPr>
          <w:b/>
          <w:bCs/>
        </w:rPr>
        <w:t xml:space="preserve">média intensidade</w:t>
      </w:r>
      <w:r>
        <w:t xml:space="preserve">, quando o investimento por quilômetro do empreendimento estiver entre 80% e 120% da mediana da tipologia, caso em que se atribui</w:t>
      </w:r>
      <w:r>
        <w:t xml:space="preserve"> </w:t>
      </w:r>
      <m:oMath>
        <m:r>
          <m:t>F</m:t>
        </m:r>
        <m:r>
          <m:t>C</m:t>
        </m:r>
        <m:r>
          <m:rPr>
            <m:sty m:val="p"/>
          </m:rPr>
          <m:t>=</m:t>
        </m:r>
        <m:r>
          <m:t>1</m:t>
        </m:r>
        <m:r>
          <m:rPr>
            <m:sty m:val="p"/>
          </m:rPr>
          <m:t>,</m:t>
        </m:r>
        <m:r>
          <m:t>00</m:t>
        </m:r>
      </m:oMath>
      <w:r>
        <w:t xml:space="preserve">; e</w:t>
      </w:r>
    </w:p>
    <w:p>
      <w:pPr>
        <w:pStyle w:val="Compact"/>
        <w:numPr>
          <w:ilvl w:val="0"/>
          <w:numId w:val="1010"/>
        </w:numPr>
      </w:pPr>
      <w:r>
        <w:rPr>
          <w:b/>
          <w:bCs/>
        </w:rPr>
        <w:t xml:space="preserve">alta intensidade</w:t>
      </w:r>
      <w:r>
        <w:t xml:space="preserve">, quando o investimento por quilômetro do empreendimento for superior a 120% da mediana da tipologia, caso em que se atribui</w:t>
      </w:r>
      <w:r>
        <w:t xml:space="preserve"> </w:t>
      </w:r>
      <m:oMath>
        <m:r>
          <m:t>F</m:t>
        </m:r>
        <m:r>
          <m:t>C</m:t>
        </m:r>
        <m:r>
          <m:rPr>
            <m:sty m:val="p"/>
          </m:rPr>
          <m:t>=</m:t>
        </m:r>
        <m:r>
          <m:t>1</m:t>
        </m:r>
        <m:r>
          <m:rPr>
            <m:sty m:val="p"/>
          </m:rPr>
          <m:t>,</m:t>
        </m:r>
        <m:r>
          <m:t>25</m:t>
        </m:r>
      </m:oMath>
      <w:r>
        <w:t xml:space="preserve">.</w:t>
      </w:r>
    </w:p>
    <w:p>
      <w:pPr>
        <w:pStyle w:val="FirstParagraph"/>
      </w:pPr>
      <m:oMathPara>
        <m:oMathParaPr>
          <m:jc m:val="center"/>
        </m:oMathParaPr>
        <m:oMath>
          <m:r>
            <m:t>F</m:t>
          </m:r>
          <m:r>
            <m:t>C</m:t>
          </m:r>
          <m:r>
            <m:rPr>
              <m:sty m:val="p"/>
            </m:rPr>
            <m:t>=</m:t>
          </m:r>
          <m:d>
            <m:dPr>
              <m:begChr m:val="{"/>
              <m:sepChr m:val=""/>
              <m:endChr m:val=""/>
              <m:grow/>
            </m:dPr>
            <m:e>
              <m:m>
                <m:mPr>
                  <m:baseJc m:val="center"/>
                  <m:plcHide m:val="on"/>
                  <m:mcs>
                    <m:mc>
                      <m:mcPr>
                        <m:mcJc m:val="left"/>
                        <m:count m:val="1"/>
                      </m:mcPr>
                    </m:mc>
                    <m:mc>
                      <m:mcPr>
                        <m:mcJc m:val="left"/>
                        <m:count m:val="1"/>
                      </m:mcPr>
                    </m:mc>
                  </m:mcs>
                </m:mPr>
                <m:mr>
                  <m:e>
                    <m:r>
                      <m:t>0</m:t>
                    </m:r>
                    <m:r>
                      <m:rPr>
                        <m:sty m:val="p"/>
                      </m:rPr>
                      <m:t>,</m:t>
                    </m:r>
                    <m:r>
                      <m:t>85</m:t>
                    </m:r>
                    <m:r>
                      <m:rPr>
                        <m:sty m:val="p"/>
                      </m:rPr>
                      <m:t>,</m:t>
                    </m:r>
                  </m:e>
                  <m:e>
                    <m:r>
                      <m:rPr>
                        <m:nor/>
                        <m:sty m:val="p"/>
                      </m:rPr>
                      <m:t>se </m:t>
                    </m:r>
                    <m:r>
                      <m:t>I</m:t>
                    </m:r>
                    <m:r>
                      <m:t>N</m:t>
                    </m:r>
                    <m:sSub>
                      <m:e>
                        <m:r>
                          <m:t>V</m:t>
                        </m:r>
                      </m:e>
                      <m:sub>
                        <m:r>
                          <m:t>k</m:t>
                        </m:r>
                        <m:r>
                          <m:t>m</m:t>
                        </m:r>
                      </m:sub>
                    </m:sSub>
                    <m:r>
                      <m:rPr>
                        <m:sty m:val="p"/>
                      </m:rPr>
                      <m:t>&lt;</m:t>
                    </m:r>
                    <m:r>
                      <m:t>0</m:t>
                    </m:r>
                    <m:r>
                      <m:rPr>
                        <m:sty m:val="p"/>
                      </m:rPr>
                      <m:t>,</m:t>
                    </m:r>
                    <m:r>
                      <m:t>80</m:t>
                    </m:r>
                    <m:r>
                      <m:rPr>
                        <m:sty m:val="p"/>
                      </m:rPr>
                      <m:t>⋅</m:t>
                    </m:r>
                    <m:r>
                      <m:t>I</m:t>
                    </m:r>
                    <m:r>
                      <m:t>N</m:t>
                    </m:r>
                    <m:sSub>
                      <m:e>
                        <m:r>
                          <m:t>V</m:t>
                        </m:r>
                      </m:e>
                      <m:sub>
                        <m:r>
                          <m:t>r</m:t>
                        </m:r>
                        <m:r>
                          <m:t>e</m:t>
                        </m:r>
                        <m:r>
                          <m:t>f</m:t>
                        </m:r>
                        <m:r>
                          <m:rPr>
                            <m:sty m:val="p"/>
                          </m:rPr>
                          <m:t>,</m:t>
                        </m:r>
                        <m:r>
                          <m:t>t</m:t>
                        </m:r>
                        <m:r>
                          <m:t>i</m:t>
                        </m:r>
                        <m:r>
                          <m:t>p</m:t>
                        </m:r>
                      </m:sub>
                    </m:sSub>
                  </m:e>
                </m:mr>
                <m:mr>
                  <m:e>
                    <m:r>
                      <m:t>1</m:t>
                    </m:r>
                    <m:r>
                      <m:rPr>
                        <m:sty m:val="p"/>
                      </m:rPr>
                      <m:t>,</m:t>
                    </m:r>
                    <m:r>
                      <m:t>00</m:t>
                    </m:r>
                    <m:r>
                      <m:rPr>
                        <m:sty m:val="p"/>
                      </m:rPr>
                      <m:t>,</m:t>
                    </m:r>
                  </m:e>
                  <m:e>
                    <m:r>
                      <m:rPr>
                        <m:nor/>
                        <m:sty m:val="p"/>
                      </m:rPr>
                      <m:t>se </m:t>
                    </m:r>
                    <m:r>
                      <m:t>0</m:t>
                    </m:r>
                    <m:r>
                      <m:rPr>
                        <m:sty m:val="p"/>
                      </m:rPr>
                      <m:t>,</m:t>
                    </m:r>
                    <m:r>
                      <m:t>80</m:t>
                    </m:r>
                    <m:r>
                      <m:rPr>
                        <m:sty m:val="p"/>
                      </m:rPr>
                      <m:t>⋅</m:t>
                    </m:r>
                    <m:r>
                      <m:t>I</m:t>
                    </m:r>
                    <m:r>
                      <m:t>N</m:t>
                    </m:r>
                    <m:sSub>
                      <m:e>
                        <m:r>
                          <m:t>V</m:t>
                        </m:r>
                      </m:e>
                      <m:sub>
                        <m:r>
                          <m:t>r</m:t>
                        </m:r>
                        <m:r>
                          <m:t>e</m:t>
                        </m:r>
                        <m:r>
                          <m:t>f</m:t>
                        </m:r>
                        <m:r>
                          <m:rPr>
                            <m:sty m:val="p"/>
                          </m:rPr>
                          <m:t>,</m:t>
                        </m:r>
                        <m:r>
                          <m:t>t</m:t>
                        </m:r>
                        <m:r>
                          <m:t>i</m:t>
                        </m:r>
                        <m:r>
                          <m:t>p</m:t>
                        </m:r>
                      </m:sub>
                    </m:sSub>
                    <m:r>
                      <m:rPr>
                        <m:sty m:val="p"/>
                      </m:rPr>
                      <m:t>≤</m:t>
                    </m:r>
                    <m:r>
                      <m:t>I</m:t>
                    </m:r>
                    <m:r>
                      <m:t>N</m:t>
                    </m:r>
                    <m:sSub>
                      <m:e>
                        <m:r>
                          <m:t>V</m:t>
                        </m:r>
                      </m:e>
                      <m:sub>
                        <m:r>
                          <m:t>k</m:t>
                        </m:r>
                        <m:r>
                          <m:t>m</m:t>
                        </m:r>
                      </m:sub>
                    </m:sSub>
                    <m:r>
                      <m:rPr>
                        <m:sty m:val="p"/>
                      </m:rPr>
                      <m:t>≤</m:t>
                    </m:r>
                    <m:r>
                      <m:t>1</m:t>
                    </m:r>
                    <m:r>
                      <m:rPr>
                        <m:sty m:val="p"/>
                      </m:rPr>
                      <m:t>,</m:t>
                    </m:r>
                    <m:r>
                      <m:t>20</m:t>
                    </m:r>
                    <m:r>
                      <m:rPr>
                        <m:sty m:val="p"/>
                      </m:rPr>
                      <m:t>⋅</m:t>
                    </m:r>
                    <m:r>
                      <m:t>I</m:t>
                    </m:r>
                    <m:r>
                      <m:t>N</m:t>
                    </m:r>
                    <m:sSub>
                      <m:e>
                        <m:r>
                          <m:t>V</m:t>
                        </m:r>
                      </m:e>
                      <m:sub>
                        <m:r>
                          <m:t>r</m:t>
                        </m:r>
                        <m:r>
                          <m:t>e</m:t>
                        </m:r>
                        <m:r>
                          <m:t>f</m:t>
                        </m:r>
                        <m:r>
                          <m:rPr>
                            <m:sty m:val="p"/>
                          </m:rPr>
                          <m:t>,</m:t>
                        </m:r>
                        <m:r>
                          <m:t>t</m:t>
                        </m:r>
                        <m:r>
                          <m:t>i</m:t>
                        </m:r>
                        <m:r>
                          <m:t>p</m:t>
                        </m:r>
                      </m:sub>
                    </m:sSub>
                  </m:e>
                </m:mr>
                <m:mr>
                  <m:e>
                    <m:r>
                      <m:t>1</m:t>
                    </m:r>
                    <m:r>
                      <m:rPr>
                        <m:sty m:val="p"/>
                      </m:rPr>
                      <m:t>,</m:t>
                    </m:r>
                    <m:r>
                      <m:t>25</m:t>
                    </m:r>
                    <m:r>
                      <m:rPr>
                        <m:sty m:val="p"/>
                      </m:rPr>
                      <m:t>,</m:t>
                    </m:r>
                  </m:e>
                  <m:e>
                    <m:r>
                      <m:rPr>
                        <m:nor/>
                        <m:sty m:val="p"/>
                      </m:rPr>
                      <m:t>se </m:t>
                    </m:r>
                    <m:r>
                      <m:t>I</m:t>
                    </m:r>
                    <m:r>
                      <m:t>N</m:t>
                    </m:r>
                    <m:sSub>
                      <m:e>
                        <m:r>
                          <m:t>V</m:t>
                        </m:r>
                      </m:e>
                      <m:sub>
                        <m:r>
                          <m:t>k</m:t>
                        </m:r>
                        <m:r>
                          <m:t>m</m:t>
                        </m:r>
                      </m:sub>
                    </m:sSub>
                    <m:r>
                      <m:rPr>
                        <m:sty m:val="p"/>
                      </m:rPr>
                      <m:t>&gt;</m:t>
                    </m:r>
                    <m:r>
                      <m:t>1</m:t>
                    </m:r>
                    <m:r>
                      <m:rPr>
                        <m:sty m:val="p"/>
                      </m:rPr>
                      <m:t>,</m:t>
                    </m:r>
                    <m:r>
                      <m:t>20</m:t>
                    </m:r>
                    <m:r>
                      <m:rPr>
                        <m:sty m:val="p"/>
                      </m:rPr>
                      <m:t>⋅</m:t>
                    </m:r>
                    <m:r>
                      <m:t>I</m:t>
                    </m:r>
                    <m:r>
                      <m:t>N</m:t>
                    </m:r>
                    <m:sSub>
                      <m:e>
                        <m:r>
                          <m:t>V</m:t>
                        </m:r>
                      </m:e>
                      <m:sub>
                        <m:r>
                          <m:t>r</m:t>
                        </m:r>
                        <m:r>
                          <m:t>e</m:t>
                        </m:r>
                        <m:r>
                          <m:t>f</m:t>
                        </m:r>
                        <m:r>
                          <m:rPr>
                            <m:sty m:val="p"/>
                          </m:rPr>
                          <m:t>,</m:t>
                        </m:r>
                        <m:r>
                          <m:t>t</m:t>
                        </m:r>
                        <m:r>
                          <m:t>i</m:t>
                        </m:r>
                        <m:r>
                          <m:t>p</m:t>
                        </m:r>
                      </m:sub>
                    </m:sSub>
                  </m:e>
                </m:mr>
              </m:m>
            </m:e>
          </m:d>
        </m:oMath>
      </m:oMathPara>
    </w:p>
    <w:p>
      <w:pPr>
        <w:pStyle w:val="FirstParagraph"/>
      </w:pPr>
      <w:r>
        <w:t xml:space="preserve">Assim, o</w:t>
      </w:r>
      <w:r>
        <w:t xml:space="preserve"> </w:t>
      </w:r>
      <m:oMath>
        <m:r>
          <m:t>F</m:t>
        </m:r>
        <m:r>
          <m:t>C</m:t>
        </m:r>
      </m:oMath>
      <w:r>
        <w:t xml:space="preserve"> </w:t>
      </w:r>
      <w:r>
        <w:t xml:space="preserve">atua como fator de ajuste da estimativa final, reduzindo-a nos empreendimentos com investimento relativamente inferior ao padrão da tipologia, mantendo-a nos casos compatíveis com esse padrão e ampliando-a moderadamente nas intervenções de maior robustez.</w:t>
      </w:r>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Tabela 3. Fator de complexidade do investimento (FC)</w:t>
      </w:r>
    </w:p>
    <w:p>
      <w:pPr>
        <w:spacing w:before="0" w:after="60"/>
        <w:keepNext/>
        <w:jc w:val="start"/>
        <w:pStyle w:val="caption"/>
      </w:pPr>
      <w:r>
        <w:rPr>
          <w:rFonts w:ascii="Calibri" w:hAnsi="Calibri"/>
          <w:sz w:val="20"/>
          <w:color w:val="333333"/>
        </w:rPr>
        <w:t xml:space="default">Classificação simplificada com base na mediana do investimento por quilômetro da tipologia</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Classificação</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Critério</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FC</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Baixa</w: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Abaixo de 80% da mediana da tipologia</w:t>
            </w:r>
          </w:p>
        </w:tc>
        <w:tc>
          <w:tcPr>
            <w:tcBorders>
              <w:top w:val="single" w:space="0" w:color="D9E2F2"/>
              <w:bottom w:val="single" w:space="0" w:color="D9E2F2"/>
              <w:start w:val="single" w:space="0" w:color="929292"/>
              <w:end w:val="single" w:space="0" w:color="929292"/>
            </w:tcBorders>
            <w:shd w:val="clear" w:color="auto" w:fill="FCE8E6"/>
          </w:tcPr>
          <w:p>
            <w:pPr>
              <w:spacing w:before="0" w:after="60"/>
              <w:keepNext/>
              <w:jc w:val="end"/>
            </w:pPr>
            <w:r>
              <w:rPr>
                <w:rFonts w:ascii="Calibri" w:hAnsi="Calibri"/>
                <w:sz w:val="20"/>
                <w:color w:val="000000"/>
              </w:rPr>
              <w:t xml:space="default">0,85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Média</w: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Entre 80% e 120% da mediana da tipologia</w:t>
            </w:r>
          </w:p>
        </w:tc>
        <w:tc>
          <w:tcPr>
            <w:tcBorders>
              <w:top w:val="single" w:space="0" w:color="D9E2F2"/>
              <w:bottom w:val="single" w:space="0" w:color="D9E2F2"/>
              <w:start w:val="single" w:space="0" w:color="929292"/>
              <w:end w:val="single" w:space="0" w:color="929292"/>
            </w:tcBorders>
            <w:shd w:val="clear" w:color="auto" w:fill="F5ACA4"/>
          </w:tcPr>
          <w:p>
            <w:pPr>
              <w:spacing w:before="0" w:after="60"/>
              <w:keepNext/>
              <w:jc w:val="end"/>
            </w:pPr>
            <w:r>
              <w:rPr>
                <w:rFonts w:ascii="Calibri" w:hAnsi="Calibri"/>
                <w:sz w:val="20"/>
                <w:color w:val="000000"/>
              </w:rPr>
              <w:t xml:space="default">1,00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Alta</w: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Acima de 120% da mediana da tipologia</w:t>
            </w:r>
          </w:p>
        </w:tc>
        <w:tc>
          <w:tcPr>
            <w:tcBorders>
              <w:top w:val="single" w:space="0" w:color="D9E2F2"/>
              <w:bottom w:val="single" w:space="0" w:color="D9E2F2"/>
              <w:start w:val="single" w:space="0" w:color="929292"/>
              <w:end w:val="single" w:space="0" w:color="929292"/>
            </w:tcBorders>
            <w:shd w:val="clear" w:color="auto" w:fill="A33636"/>
          </w:tcPr>
          <w:p>
            <w:pPr>
              <w:spacing w:before="0" w:after="60"/>
              <w:keepNext/>
              <w:jc w:val="end"/>
            </w:pPr>
            <w:r>
              <w:rPr>
                <w:rFonts w:ascii="Calibri" w:hAnsi="Calibri"/>
                <w:sz w:val="20"/>
                <w:color w:val="FFFFFF"/>
              </w:rPr>
              <w:t xml:space="default">1,25</w:t>
            </w:r>
          </w:p>
        </w:tc>
      </w:tr>
    </w:tbl>
    <w:bookmarkEnd w:id="39"/>
    <w:bookmarkEnd w:id="40"/>
    <w:bookmarkStart w:id="41" w:name="Xcc775f505e088175af0112618fe81d3f2df66c7"/>
    <w:p>
      <w:pPr>
        <w:pStyle w:val="Heading3"/>
      </w:pPr>
      <w:r>
        <w:t xml:space="preserve">11. Metodologia para aquisição de frota e material rodante</w:t>
      </w:r>
    </w:p>
    <w:p>
      <w:pPr>
        <w:pStyle w:val="FirstParagraph"/>
      </w:pPr>
      <w:r>
        <w:t xml:space="preserve">Para empreendimentos de aquisição de frota, nos quais não há extensão física da intervenção em quilômetros, aplica-se fórmula própria:</w:t>
      </w:r>
    </w:p>
    <w:p>
      <w:pPr>
        <w:pStyle w:val="BodyText"/>
      </w:pPr>
      <m:oMathPara>
        <m:oMathParaPr>
          <m:jc m:val="center"/>
        </m:oMathParaPr>
        <m:oMath>
          <m:r>
            <m:t>P</m:t>
          </m:r>
          <m:sSub>
            <m:e>
              <m:r>
                <m:t>B</m:t>
              </m:r>
            </m:e>
            <m:sub>
              <m:r>
                <m:t>m</m:t>
              </m:r>
              <m:r>
                <m:t>o</m:t>
              </m:r>
              <m:r>
                <m:t>b</m:t>
              </m:r>
            </m:sub>
          </m:sSub>
          <m:r>
            <m:rPr>
              <m:sty m:val="p"/>
            </m:rPr>
            <m:t>=</m:t>
          </m:r>
          <m:f>
            <m:fPr>
              <m:type m:val="bar"/>
            </m:fPr>
            <m:num>
              <m:r>
                <m:t>I</m:t>
              </m:r>
              <m:r>
                <m:t>N</m:t>
              </m:r>
              <m:r>
                <m:t>V</m:t>
              </m:r>
            </m:num>
            <m:den>
              <m:sSub>
                <m:e>
                  <m:r>
                    <m:t>C</m:t>
                  </m:r>
                </m:e>
                <m:sub>
                  <m:r>
                    <m:t>u</m:t>
                  </m:r>
                  <m:r>
                    <m:t>n</m:t>
                  </m:r>
                  <m:r>
                    <m:t>i</m:t>
                  </m:r>
                  <m:r>
                    <m:t>t</m:t>
                  </m:r>
                </m:sub>
              </m:sSub>
            </m:den>
          </m:f>
          <m:r>
            <m:rPr>
              <m:sty m:val="p"/>
            </m:rPr>
            <m:t>×</m:t>
          </m:r>
          <m:sSub>
            <m:e>
              <m:r>
                <m:t>B</m:t>
              </m:r>
            </m:e>
            <m:sub>
              <m:r>
                <m:t>u</m:t>
              </m:r>
              <m:r>
                <m:t>n</m:t>
              </m:r>
              <m:r>
                <m:t>i</m:t>
              </m:r>
              <m:r>
                <m:t>t</m:t>
              </m:r>
            </m:sub>
          </m:sSub>
        </m:oMath>
      </m:oMathPara>
    </w:p>
    <w:p>
      <w:pPr>
        <w:pStyle w:val="FirstParagraph"/>
      </w:pPr>
      <w:r>
        <w:t xml:space="preserve">Essa fórmula estima, em primeiro lugar, a quantidade aproximada de unidades adquiridas a partir do quociente entre o investimento total e o custo unitário médio do veículo ou composição. Em seguida, esse quantitativo é convertido em pessoas beneficiadas mediante a aplicação de um parâmetro médio de beneficiários por unidade.</w:t>
      </w:r>
    </w:p>
    <w:p>
      <w:pPr>
        <w:pStyle w:val="BodyText"/>
      </w:pPr>
      <w:r>
        <w:t xml:space="preserve">Os parâmetros necessários são:</w:t>
      </w:r>
    </w:p>
    <w:p>
      <w:pPr>
        <w:pStyle w:val="Compact"/>
        <w:numPr>
          <w:ilvl w:val="0"/>
          <w:numId w:val="1011"/>
        </w:numPr>
      </w:pPr>
      <m:oMath>
        <m:sSub>
          <m:e>
            <m:r>
              <m:t>C</m:t>
            </m:r>
          </m:e>
          <m:sub>
            <m:r>
              <m:t>u</m:t>
            </m:r>
            <m:r>
              <m:t>n</m:t>
            </m:r>
            <m:r>
              <m:t>i</m:t>
            </m:r>
            <m:r>
              <m:t>t</m:t>
            </m:r>
          </m:sub>
        </m:sSub>
      </m:oMath>
      <w:r>
        <w:t xml:space="preserve">: custo médio unitário estimado do veículo ou composição; e</w:t>
      </w:r>
    </w:p>
    <w:p>
      <w:pPr>
        <w:pStyle w:val="Compact"/>
        <w:numPr>
          <w:ilvl w:val="0"/>
          <w:numId w:val="1011"/>
        </w:numPr>
      </w:pPr>
      <m:oMath>
        <m:sSub>
          <m:e>
            <m:r>
              <m:t>B</m:t>
            </m:r>
          </m:e>
          <m:sub>
            <m:r>
              <m:t>u</m:t>
            </m:r>
            <m:r>
              <m:t>n</m:t>
            </m:r>
            <m:r>
              <m:t>i</m:t>
            </m:r>
            <m:r>
              <m:t>t</m:t>
            </m:r>
          </m:sub>
        </m:sSub>
      </m:oMath>
      <w:r>
        <w:t xml:space="preserve">: número médio de beneficiários estimados por unidade adquirida.</w:t>
      </w:r>
    </w:p>
    <w:p>
      <w:pPr>
        <w:pStyle w:val="FirstParagraph"/>
      </w:pPr>
      <w:r>
        <w:t xml:space="preserve">A lógica subjacente é que, na ausência de dados operacionais detalhados, o investimento total pode ser convertido em uma quantidade estimada de veículos ou composições, a qual, por sua vez, pode ser transformada em população beneficiada potencial com base em parâmetros médios previamente definidos.</w:t>
      </w:r>
    </w:p>
    <w:p>
      <w:pPr>
        <w:pStyle w:val="BodyText"/>
      </w:pPr>
      <w:r>
        <w:t xml:space="preserve">Os parâmetros de referência adotados para aquisição de frota e material rodante foram definidos a partir de base empírica recente de contratações financiadas com recursos do FGTS no âmbito do Novo PAC (2024-2026), complementada por referências técnicas setoriais, especialmente valores publicados pela SPTrans e estudos do BNDES. Para o cálculo do custo unitário médio, considera-se o valor total contratado acrescido da contrapartida mínima de 5%, dividido pelo número de veículos adquiridos.</w:t>
      </w:r>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Tabela 5. Custos unitários médios para aquisição de frota (Cunit)</w:t>
      </w:r>
    </w:p>
    <w:p>
      <w:pPr>
        <w:spacing w:before="0" w:after="60"/>
        <w:keepNext/>
        <w:jc w:val="start"/>
        <w:pStyle w:val="caption"/>
      </w:pPr>
      <w:r>
        <w:rPr>
          <w:rFonts w:ascii="Calibri" w:hAnsi="Calibri"/>
          <w:sz w:val="20"/>
          <w:color w:val="333333"/>
        </w:rPr>
        <w:t xml:space="default">Valores de referência em R$ milhões por unidade</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Tipologia</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Valor mínimo (R$ mi)</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Valor adotado (Cunit, R$ mi)</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Valor máximo (R$ mi)</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Ônibus Euro 6 — convencional</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0,75</w:t>
            </w:r>
          </w:p>
        </w:tc>
        <w:tc>
          <w:tcPr>
            <w:tcBorders>
              <w:top w:val="single" w:space="0" w:color="D9E2F2"/>
              <w:bottom w:val="single" w:space="0" w:color="D9E2F2"/>
              <w:start w:val="single" w:space="0" w:color="929292"/>
              <w:end w:val="single" w:space="0" w:color="929292"/>
            </w:tcBorders>
            <w:shd w:val="clear" w:color="auto" w:fill="EAF7EA"/>
          </w:tcPr>
          <w:p>
            <w:pPr>
              <w:spacing w:before="0" w:after="60"/>
              <w:keepNext/>
              <w:jc w:val="end"/>
            </w:pPr>
            <w:r>
              <w:rPr>
                <w:rFonts w:ascii="Calibri" w:hAnsi="Calibri"/>
                <w:sz w:val="20"/>
                <w:color w:val="000000"/>
              </w:rPr>
              <w:t xml:space="default">0,82</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0,90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Ônibus Euro 6 — articulado</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1,35</w:t>
            </w:r>
          </w:p>
        </w:tc>
        <w:tc>
          <w:tcPr>
            <w:tcBorders>
              <w:top w:val="single" w:space="0" w:color="D9E2F2"/>
              <w:bottom w:val="single" w:space="0" w:color="D9E2F2"/>
              <w:start w:val="single" w:space="0" w:color="929292"/>
              <w:end w:val="single" w:space="0" w:color="929292"/>
            </w:tcBorders>
            <w:shd w:val="clear" w:color="auto" w:fill="E4F5E3"/>
          </w:tcPr>
          <w:p>
            <w:pPr>
              <w:spacing w:before="0" w:after="60"/>
              <w:keepNext/>
              <w:jc w:val="end"/>
            </w:pPr>
            <w:r>
              <w:rPr>
                <w:rFonts w:ascii="Calibri" w:hAnsi="Calibri"/>
                <w:sz w:val="20"/>
                <w:color w:val="000000"/>
              </w:rPr>
              <w:t xml:space="default">1,45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1,55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Ônibus elétrico — convencional</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2,40</w:t>
            </w:r>
          </w:p>
        </w:tc>
        <w:tc>
          <w:tcPr>
            <w:tcBorders>
              <w:top w:val="single" w:space="0" w:color="D9E2F2"/>
              <w:bottom w:val="single" w:space="0" w:color="D9E2F2"/>
              <w:start w:val="single" w:space="0" w:color="929292"/>
              <w:end w:val="single" w:space="0" w:color="929292"/>
            </w:tcBorders>
            <w:shd w:val="clear" w:color="auto" w:fill="D2EDCE"/>
          </w:tcPr>
          <w:p>
            <w:pPr>
              <w:spacing w:before="0" w:after="60"/>
              <w:keepNext/>
              <w:jc w:val="end"/>
            </w:pPr>
            <w:r>
              <w:rPr>
                <w:rFonts w:ascii="Calibri" w:hAnsi="Calibri"/>
                <w:sz w:val="20"/>
                <w:color w:val="000000"/>
              </w:rPr>
              <w:t xml:space="default">3,30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3,60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Ônibus elétrico — articulado</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4,20</w:t>
            </w:r>
          </w:p>
        </w:tc>
        <w:tc>
          <w:tcPr>
            <w:tcBorders>
              <w:top w:val="single" w:space="0" w:color="D9E2F2"/>
              <w:bottom w:val="single" w:space="0" w:color="D9E2F2"/>
              <w:start w:val="single" w:space="0" w:color="929292"/>
              <w:end w:val="single" w:space="0" w:color="929292"/>
            </w:tcBorders>
            <w:shd w:val="clear" w:color="auto" w:fill="C6E8C1"/>
          </w:tcPr>
          <w:p>
            <w:pPr>
              <w:spacing w:before="0" w:after="60"/>
              <w:keepNext/>
              <w:jc w:val="end"/>
            </w:pPr>
            <w:r>
              <w:rPr>
                <w:rFonts w:ascii="Calibri" w:hAnsi="Calibri"/>
                <w:sz w:val="20"/>
                <w:color w:val="000000"/>
              </w:rPr>
              <w:t xml:space="default">4,50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4,80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Material rodante sobre trilhos</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14,00</w:t>
            </w:r>
          </w:p>
        </w:tc>
        <w:tc>
          <w:tcPr>
            <w:tcBorders>
              <w:top w:val="single" w:space="0" w:color="D9E2F2"/>
              <w:bottom w:val="single" w:space="0" w:color="D9E2F2"/>
              <w:start w:val="single" w:space="0" w:color="929292"/>
              <w:end w:val="single" w:space="0" w:color="929292"/>
            </w:tcBorders>
            <w:shd w:val="clear" w:color="auto" w:fill="2E7D32"/>
          </w:tcPr>
          <w:p>
            <w:pPr>
              <w:spacing w:before="0" w:after="60"/>
              <w:keepNext/>
              <w:jc w:val="end"/>
            </w:pPr>
            <w:r>
              <w:rPr>
                <w:rFonts w:ascii="Calibri" w:hAnsi="Calibri"/>
                <w:sz w:val="20"/>
                <w:color w:val="FFFFFF"/>
              </w:rPr>
              <w:t xml:space="default">15,93</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18,00</w:t>
            </w:r>
          </w:p>
        </w:tc>
      </w:tr>
    </w:tbl>
    <w:p>
      <w:pPr>
        <w:pStyle w:val="BodyText"/>
      </w:pPr>
      <w:r>
        <w:t xml:space="preserve">O parâmetro</w:t>
      </w:r>
      <w:r>
        <w:t xml:space="preserve"> </w:t>
      </w:r>
      <m:oMath>
        <m:sSub>
          <m:e>
            <m:r>
              <m:t>B</m:t>
            </m:r>
          </m:e>
          <m:sub>
            <m:r>
              <m:t>u</m:t>
            </m:r>
            <m:r>
              <m:t>n</m:t>
            </m:r>
            <m:r>
              <m:t>i</m:t>
            </m:r>
            <m:r>
              <m:t>t</m:t>
            </m:r>
          </m:sub>
        </m:sSub>
      </m:oMath>
      <w:r>
        <w:t xml:space="preserve"> </w:t>
      </w:r>
      <w:r>
        <w:t xml:space="preserve">corresponde à população potencialmente beneficiada por unidade de frota adquirida. Para evitar superestimação, não se utiliza a vida útil do veículo como base de cálculo; a referência é a operação diária típica do sistema, estimada a partir da capacidade do veículo, da ocupação média, do número de viagens comerciais por dia e, quando aplicável, de fator moderado de qualificação do serviço.</w:t>
      </w:r>
    </w:p>
    <w:p>
      <w:pPr>
        <w:pStyle w:val="BodyText"/>
      </w:pPr>
      <m:oMathPara>
        <m:oMathParaPr>
          <m:jc m:val="center"/>
        </m:oMathParaPr>
        <m:oMath>
          <m:sSub>
            <m:e>
              <m:r>
                <m:t>B</m:t>
              </m:r>
            </m:e>
            <m:sub>
              <m:r>
                <m:t>u</m:t>
              </m:r>
              <m:r>
                <m:t>n</m:t>
              </m:r>
              <m:r>
                <m:t>i</m:t>
              </m:r>
              <m:r>
                <m:t>t</m:t>
              </m:r>
            </m:sub>
          </m:sSub>
          <m:r>
            <m:rPr>
              <m:sty m:val="p"/>
            </m:rPr>
            <m:t>=</m:t>
          </m:r>
          <m:r>
            <m:t>C</m:t>
          </m:r>
          <m:r>
            <m:t>a</m:t>
          </m:r>
          <m:r>
            <m:t>p</m:t>
          </m:r>
          <m:r>
            <m:t>a</m:t>
          </m:r>
          <m:r>
            <m:t>c</m:t>
          </m:r>
          <m:r>
            <m:t>i</m:t>
          </m:r>
          <m:r>
            <m:t>d</m:t>
          </m:r>
          <m:r>
            <m:t>a</m:t>
          </m:r>
          <m:r>
            <m:t>d</m:t>
          </m:r>
          <m:r>
            <m:t>e</m:t>
          </m:r>
          <m:r>
            <m:rPr>
              <m:sty m:val="p"/>
            </m:rPr>
            <m:t>×</m:t>
          </m:r>
          <m:r>
            <m:t>O</m:t>
          </m:r>
          <m:r>
            <m:t>c</m:t>
          </m:r>
          <m:r>
            <m:t>u</m:t>
          </m:r>
          <m:r>
            <m:t>p</m:t>
          </m:r>
          <m:r>
            <m:t>a</m:t>
          </m:r>
          <m:r>
            <m:t>ç</m:t>
          </m:r>
          <m:r>
            <m:t>ã</m:t>
          </m:r>
          <m:r>
            <m:t>o</m:t>
          </m:r>
          <m:r>
            <m:t> </m:t>
          </m:r>
          <m:r>
            <m:t>m</m:t>
          </m:r>
          <m:r>
            <m:t>é</m:t>
          </m:r>
          <m:r>
            <m:t>d</m:t>
          </m:r>
          <m:r>
            <m:t>i</m:t>
          </m:r>
          <m:r>
            <m:t>a</m:t>
          </m:r>
          <m:r>
            <m:rPr>
              <m:sty m:val="p"/>
            </m:rPr>
            <m:t>×</m:t>
          </m:r>
          <m:r>
            <m:t>V</m:t>
          </m:r>
          <m:r>
            <m:t>i</m:t>
          </m:r>
          <m:r>
            <m:t>a</m:t>
          </m:r>
          <m:r>
            <m:t>g</m:t>
          </m:r>
          <m:r>
            <m:t>e</m:t>
          </m:r>
          <m:r>
            <m:t>n</m:t>
          </m:r>
          <m:r>
            <m:t>s</m:t>
          </m:r>
          <m:r>
            <m:rPr>
              <m:sty m:val="p"/>
            </m:rPr>
            <m:t>/</m:t>
          </m:r>
          <m:r>
            <m:t>d</m:t>
          </m:r>
          <m:r>
            <m:t>i</m:t>
          </m:r>
          <m:r>
            <m:t>a</m:t>
          </m:r>
          <m:r>
            <m:rPr>
              <m:sty m:val="p"/>
            </m:rPr>
            <m:t>×</m:t>
          </m:r>
          <m:r>
            <m:t>F</m:t>
          </m:r>
          <m:r>
            <m:t>a</m:t>
          </m:r>
          <m:r>
            <m:t>t</m:t>
          </m:r>
          <m:r>
            <m:t>o</m:t>
          </m:r>
          <m:r>
            <m:t>r</m:t>
          </m:r>
          <m:r>
            <m:t> </m:t>
          </m:r>
          <m:r>
            <m:t>d</m:t>
          </m:r>
          <m:r>
            <m:t>e</m:t>
          </m:r>
          <m:r>
            <m:t> </m:t>
          </m:r>
          <m:r>
            <m:t>a</m:t>
          </m:r>
          <m:r>
            <m:t>j</m:t>
          </m:r>
          <m:r>
            <m:t>u</m:t>
          </m:r>
          <m:r>
            <m:t>s</m:t>
          </m:r>
          <m:r>
            <m:t>t</m:t>
          </m:r>
          <m:r>
            <m:t>e</m:t>
          </m:r>
        </m:oMath>
      </m:oMathPara>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Tabela 6. Beneficiários médios por unidade de frota (Bunit)</w:t>
      </w:r>
    </w:p>
    <w:p>
      <w:pPr>
        <w:spacing w:before="0" w:after="60"/>
        <w:keepNext/>
        <w:jc w:val="start"/>
        <w:pStyle w:val="caption"/>
      </w:pPr>
      <w:r>
        <w:rPr>
          <w:rFonts w:ascii="Calibri" w:hAnsi="Calibri"/>
          <w:sz w:val="20"/>
          <w:color w:val="333333"/>
        </w:rPr>
        <w:t xml:space="default">Memória de cálculo por dia típico de operação</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Categoria</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Capacidade</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Ocupação</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Passageiros/viagem</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Viagens/dia</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Fator</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Bunit estimado</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Bunit adotado</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Euro 6 convencional</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80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60%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48</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480</w:t>
            </w:r>
          </w:p>
        </w:tc>
        <w:tc>
          <w:tcPr>
            <w:tcBorders>
              <w:top w:val="single" w:space="0" w:color="D9E2F2"/>
              <w:bottom w:val="single" w:space="0" w:color="D9E2F2"/>
              <w:start w:val="single" w:space="0" w:color="929292"/>
              <w:end w:val="single" w:space="0" w:color="929292"/>
            </w:tcBorders>
            <w:shd w:val="clear" w:color="auto" w:fill="E8F1FB"/>
          </w:tcPr>
          <w:p>
            <w:pPr>
              <w:spacing w:before="0" w:after="60"/>
              <w:keepNext/>
              <w:jc w:val="end"/>
            </w:pPr>
            <w:r>
              <w:rPr>
                <w:rFonts w:ascii="Calibri" w:hAnsi="Calibri"/>
                <w:sz w:val="20"/>
                <w:color w:val="000000"/>
              </w:rPr>
              <w:t xml:space="default">500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Euro 6 articulado</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110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60%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66</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12</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792</w:t>
            </w:r>
          </w:p>
        </w:tc>
        <w:tc>
          <w:tcPr>
            <w:tcBorders>
              <w:top w:val="single" w:space="0" w:color="D9E2F2"/>
              <w:bottom w:val="single" w:space="0" w:color="D9E2F2"/>
              <w:start w:val="single" w:space="0" w:color="929292"/>
              <w:end w:val="single" w:space="0" w:color="929292"/>
            </w:tcBorders>
            <w:shd w:val="clear" w:color="auto" w:fill="D7E6F8"/>
          </w:tcPr>
          <w:p>
            <w:pPr>
              <w:spacing w:before="0" w:after="60"/>
              <w:keepNext/>
              <w:jc w:val="end"/>
            </w:pPr>
            <w:r>
              <w:rPr>
                <w:rFonts w:ascii="Calibri" w:hAnsi="Calibri"/>
                <w:sz w:val="20"/>
                <w:color w:val="000000"/>
              </w:rPr>
              <w:t xml:space="default">800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Elétrico convencional</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80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60%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48</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1,1</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528</w:t>
            </w:r>
          </w:p>
        </w:tc>
        <w:tc>
          <w:tcPr>
            <w:tcBorders>
              <w:top w:val="single" w:space="0" w:color="D9E2F2"/>
              <w:bottom w:val="single" w:space="0" w:color="D9E2F2"/>
              <w:start w:val="single" w:space="0" w:color="929292"/>
              <w:end w:val="single" w:space="0" w:color="929292"/>
            </w:tcBorders>
            <w:shd w:val="clear" w:color="auto" w:fill="E5EFFB"/>
          </w:tcPr>
          <w:p>
            <w:pPr>
              <w:spacing w:before="0" w:after="60"/>
              <w:keepNext/>
              <w:jc w:val="end"/>
            </w:pPr>
            <w:r>
              <w:rPr>
                <w:rFonts w:ascii="Calibri" w:hAnsi="Calibri"/>
                <w:sz w:val="20"/>
                <w:color w:val="000000"/>
              </w:rPr>
              <w:t xml:space="default">550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Elétrico articulado</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110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60%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66</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12</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1,1</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871</w:t>
            </w:r>
          </w:p>
        </w:tc>
        <w:tc>
          <w:tcPr>
            <w:tcBorders>
              <w:top w:val="single" w:space="0" w:color="D9E2F2"/>
              <w:bottom w:val="single" w:space="0" w:color="D9E2F2"/>
              <w:start w:val="single" w:space="0" w:color="929292"/>
              <w:end w:val="single" w:space="0" w:color="929292"/>
            </w:tcBorders>
            <w:shd w:val="clear" w:color="auto" w:fill="D2E2F7"/>
          </w:tcPr>
          <w:p>
            <w:pPr>
              <w:spacing w:before="0" w:after="60"/>
              <w:keepNext/>
              <w:jc w:val="end"/>
            </w:pPr>
            <w:r>
              <w:rPr>
                <w:rFonts w:ascii="Calibri" w:hAnsi="Calibri"/>
                <w:sz w:val="20"/>
                <w:color w:val="000000"/>
              </w:rPr>
              <w:t xml:space="default">900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Material rodante sobre trilhos</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250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70%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175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3.500</w:t>
            </w:r>
          </w:p>
        </w:tc>
        <w:tc>
          <w:tcPr>
            <w:tcBorders>
              <w:top w:val="single" w:space="0" w:color="D9E2F2"/>
              <w:bottom w:val="single" w:space="0" w:color="D9E2F2"/>
              <w:start w:val="single" w:space="0" w:color="929292"/>
              <w:end w:val="single" w:space="0" w:color="929292"/>
            </w:tcBorders>
            <w:shd w:val="clear" w:color="auto" w:fill="2C5AA0"/>
          </w:tcPr>
          <w:p>
            <w:pPr>
              <w:spacing w:before="0" w:after="60"/>
              <w:keepNext/>
              <w:jc w:val="end"/>
            </w:pPr>
            <w:r>
              <w:rPr>
                <w:rFonts w:ascii="Calibri" w:hAnsi="Calibri"/>
                <w:sz w:val="20"/>
                <w:color w:val="FFFFFF"/>
              </w:rPr>
              <w:t xml:space="default">3.500</w:t>
            </w:r>
          </w:p>
        </w:tc>
      </w:tr>
    </w:tbl>
    <w:p>
      <w:pPr>
        <w:pStyle w:val="FirstParagraph"/>
      </w:pPr>
      <w:r>
        <w:t xml:space="preserve">Para ônibus elétricos, adota-se fator de ajuste de 1,1 sobre o</w:t>
      </w:r>
      <w:r>
        <w:t xml:space="preserve"> </w:t>
      </w:r>
      <m:oMath>
        <m:sSub>
          <m:e>
            <m:r>
              <m:t>B</m:t>
            </m:r>
          </m:e>
          <m:sub>
            <m:r>
              <m:t>u</m:t>
            </m:r>
            <m:r>
              <m:t>n</m:t>
            </m:r>
            <m:r>
              <m:t>i</m:t>
            </m:r>
            <m:r>
              <m:t>t</m:t>
            </m:r>
          </m:sub>
        </m:sSub>
      </m:oMath>
      <w:r>
        <w:t xml:space="preserve"> </w:t>
      </w:r>
      <w:r>
        <w:t xml:space="preserve">operacional, em razão da maior atratividade potencial associada a conforto térmico e acústico, menor emissão local de poluentes e incorporação de tecnologia mais moderna. No caso do material rodante sobre trilhos, a unidade de referência é o veículo individual, mantendo coerência com o</w:t>
      </w:r>
      <w:r>
        <w:t xml:space="preserve"> </w:t>
      </w:r>
      <m:oMath>
        <m:sSub>
          <m:e>
            <m:r>
              <m:t>C</m:t>
            </m:r>
          </m:e>
          <m:sub>
            <m:r>
              <m:t>u</m:t>
            </m:r>
            <m:r>
              <m:t>n</m:t>
            </m:r>
            <m:r>
              <m:t>i</m:t>
            </m:r>
            <m:r>
              <m:t>t</m:t>
            </m:r>
          </m:sub>
        </m:sSub>
      </m:oMath>
      <w:r>
        <w:t xml:space="preserve"> </w:t>
      </w:r>
      <w:r>
        <w:t xml:space="preserve">adotado.</w:t>
      </w:r>
    </w:p>
    <w:bookmarkEnd w:id="41"/>
    <w:bookmarkStart w:id="45" w:name="vantagens-da-metodologia"/>
    <w:p>
      <w:pPr>
        <w:pStyle w:val="Heading3"/>
      </w:pPr>
      <w:r>
        <w:t xml:space="preserve">14. Vantagens da metodologia</w:t>
      </w:r>
    </w:p>
    <w:tbl>
      <w:tblPr>
        <w:tblStyle w:val="Table"/>
        <w:tblInd w:w="164" w:type="dxa"/>
        <w:tblBorders>
          <w:left w:val="single" w:sz="24" w:space="0" w:color="00A047"/>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43" name="Picture"/>
                  <a:graphic>
                    <a:graphicData uri="http://schemas.openxmlformats.org/drawingml/2006/picture">
                      <pic:pic>
                        <pic:nvPicPr>
                          <pic:cNvPr descr="/opt/quarto/share/formats/docx/tip.png" id="44" name="Picture"/>
                          <pic:cNvPicPr>
                            <a:picLocks noChangeArrowheads="1" noChangeAspect="1"/>
                          </pic:cNvPicPr>
                        </pic:nvPicPr>
                        <pic:blipFill>
                          <a:blip r:embed="rId42"/>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Vantagens metodológicas</w:t>
            </w:r>
          </w:p>
          <w:p>
            <w:pPr>
              <w:pStyle w:val="Compact"/>
              <w:numPr>
                <w:ilvl w:val="0"/>
                <w:numId w:val="1012"/>
              </w:numPr>
            </w:pPr>
            <w:r>
              <w:t xml:space="preserve">simplicidade de aplicação em larga escala;</w:t>
            </w:r>
          </w:p>
          <w:p>
            <w:pPr>
              <w:pStyle w:val="Compact"/>
              <w:numPr>
                <w:ilvl w:val="0"/>
                <w:numId w:val="1012"/>
              </w:numPr>
            </w:pPr>
            <w:r>
              <w:t xml:space="preserve">comparabilidade entre empreendimentos de naturezas distintas;</w:t>
            </w:r>
          </w:p>
          <w:p>
            <w:pPr>
              <w:pStyle w:val="Compact"/>
              <w:numPr>
                <w:ilvl w:val="0"/>
                <w:numId w:val="1012"/>
              </w:numPr>
            </w:pPr>
            <w:r>
              <w:t xml:space="preserve">uso de variáveis normalmente disponíveis na carteira;</w:t>
            </w:r>
          </w:p>
          <w:p>
            <w:pPr>
              <w:pStyle w:val="Compact"/>
              <w:numPr>
                <w:ilvl w:val="0"/>
                <w:numId w:val="1012"/>
              </w:numPr>
            </w:pPr>
            <w:r>
              <w:t xml:space="preserve">redução do risco de superestimação decorrente do uso da população total do município; e</w:t>
            </w:r>
          </w:p>
          <w:p>
            <w:pPr>
              <w:pStyle w:val="Compact"/>
              <w:numPr>
                <w:ilvl w:val="0"/>
                <w:numId w:val="1012"/>
              </w:numPr>
            </w:pPr>
            <w:r>
              <w:t xml:space="preserve">possibilidade de aperfeiçoamento progressivo, à medida que novas bases sejam incorporadas.</w:t>
            </w:r>
          </w:p>
        </w:tc>
      </w:tr>
    </w:tbl>
    <w:bookmarkEnd w:id="45"/>
    <w:bookmarkStart w:id="49" w:name="limitações"/>
    <w:p>
      <w:pPr>
        <w:pStyle w:val="Heading3"/>
      </w:pPr>
      <w:r>
        <w:t xml:space="preserve">15. Limitações</w:t>
      </w:r>
    </w:p>
    <w:tbl>
      <w:tblPr>
        <w:tblStyle w:val="Table"/>
        <w:tblInd w:w="164" w:type="dxa"/>
        <w:tblBorders>
          <w:left w:val="single" w:sz="24" w:space="0" w:color="EB9113"/>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47" name="Picture"/>
                  <a:graphic>
                    <a:graphicData uri="http://schemas.openxmlformats.org/drawingml/2006/picture">
                      <pic:pic>
                        <pic:nvPicPr>
                          <pic:cNvPr descr="/opt/quarto/share/formats/docx/warning.png" id="48" name="Picture"/>
                          <pic:cNvPicPr>
                            <a:picLocks noChangeArrowheads="1" noChangeAspect="1"/>
                          </pic:cNvPicPr>
                        </pic:nvPicPr>
                        <pic:blipFill>
                          <a:blip r:embed="rId4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Aviso. Limitações metodológicas</w:t>
            </w:r>
          </w:p>
          <w:p>
            <w:pPr>
              <w:pStyle w:val="Compact"/>
              <w:numPr>
                <w:ilvl w:val="0"/>
                <w:numId w:val="1013"/>
              </w:numPr>
            </w:pPr>
            <w:r>
              <w:t xml:space="preserve">o resultado corresponde a uma estimativa da população potencialmente beneficiada, e não ao número de usuários efetivamente observados;</w:t>
            </w:r>
          </w:p>
          <w:p>
            <w:pPr>
              <w:pStyle w:val="Compact"/>
              <w:numPr>
                <w:ilvl w:val="0"/>
                <w:numId w:val="1013"/>
              </w:numPr>
            </w:pPr>
            <w:r>
              <w:t xml:space="preserve">os parâmetros adotados são médios e simplificados;</w:t>
            </w:r>
          </w:p>
          <w:p>
            <w:pPr>
              <w:pStyle w:val="Compact"/>
              <w:numPr>
                <w:ilvl w:val="0"/>
                <w:numId w:val="1013"/>
              </w:numPr>
            </w:pPr>
            <w:r>
              <w:t xml:space="preserve">o uso da densidade média municipal não capta adequadamente as variações intraurbanas;</w:t>
            </w:r>
          </w:p>
          <w:p>
            <w:pPr>
              <w:pStyle w:val="Compact"/>
              <w:numPr>
                <w:ilvl w:val="0"/>
                <w:numId w:val="1013"/>
              </w:numPr>
            </w:pPr>
            <w:r>
              <w:t xml:space="preserve">em municípios muito dispersos ou muito adensados, a aplicação da metodologia pode gerar distorções; e</w:t>
            </w:r>
          </w:p>
          <w:p>
            <w:pPr>
              <w:pStyle w:val="Compact"/>
              <w:numPr>
                <w:ilvl w:val="0"/>
                <w:numId w:val="1013"/>
              </w:numPr>
            </w:pPr>
            <w:r>
              <w:t xml:space="preserve">a metodologia deve ser empregada apenas na ausência de dados mais precisos.</w:t>
            </w:r>
          </w:p>
        </w:tc>
      </w:tr>
    </w:tbl>
    <w:bookmarkEnd w:id="49"/>
    <w:bookmarkStart w:id="50" w:name="quadro-resumo-consolidado"/>
    <w:p>
      <w:pPr>
        <w:pStyle w:val="Heading3"/>
      </w:pPr>
      <w:r>
        <w:t xml:space="preserve">16. Quadro-resumo consolidado</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Grupo</w:t>
            </w:r>
          </w:p>
        </w:tc>
        <w:tc>
          <w:tcPr/>
          <w:p>
            <w:pPr>
              <w:pStyle w:val="Compact"/>
            </w:pPr>
            <w:r>
              <w:t xml:space="preserve">Fórmula</w:t>
            </w:r>
          </w:p>
        </w:tc>
        <w:tc>
          <w:tcPr/>
          <w:p>
            <w:pPr>
              <w:pStyle w:val="Compact"/>
            </w:pPr>
            <w:r>
              <w:t xml:space="preserve">Observação</w:t>
            </w:r>
          </w:p>
        </w:tc>
      </w:tr>
      <w:tr>
        <w:tc>
          <w:tcPr/>
          <w:p>
            <w:pPr>
              <w:pStyle w:val="Compact"/>
            </w:pPr>
            <w:r>
              <w:t xml:space="preserve">Obras lineares</w:t>
            </w:r>
          </w:p>
        </w:tc>
        <w:tc>
          <w:tcPr/>
          <w:p>
            <w:pPr>
              <w:pStyle w:val="Compact"/>
            </w:pPr>
            <m:oMath>
              <m:r>
                <m:t>P</m:t>
              </m:r>
              <m:sSub>
                <m:e>
                  <m:r>
                    <m:t>B</m:t>
                  </m:r>
                </m:e>
                <m:sub>
                  <m:r>
                    <m:t>m</m:t>
                  </m:r>
                  <m:r>
                    <m:t>o</m:t>
                  </m:r>
                  <m:r>
                    <m:t>b</m:t>
                  </m:r>
                </m:sub>
              </m:sSub>
              <m:r>
                <m:rPr>
                  <m:sty m:val="p"/>
                </m:rPr>
                <m:t>=</m:t>
              </m:r>
              <m:r>
                <m:t>K</m:t>
              </m:r>
              <m:r>
                <m:t>M</m:t>
              </m:r>
              <m:r>
                <m:rPr>
                  <m:sty m:val="p"/>
                </m:rPr>
                <m:t>×</m:t>
              </m:r>
              <m:r>
                <m:t>F</m:t>
              </m:r>
              <m:r>
                <m:t>I</m:t>
              </m:r>
              <m:r>
                <m:rPr>
                  <m:sty m:val="p"/>
                </m:rPr>
                <m:t>×</m:t>
              </m:r>
              <m:r>
                <m:t>D</m:t>
              </m:r>
              <m:r>
                <m:t>M</m:t>
              </m:r>
              <m:r>
                <m:rPr>
                  <m:sty m:val="p"/>
                </m:rPr>
                <m:t>×</m:t>
              </m:r>
              <m:r>
                <m:t>F</m:t>
              </m:r>
              <m:r>
                <m:t>T</m:t>
              </m:r>
              <m:r>
                <m:rPr>
                  <m:sty m:val="p"/>
                </m:rPr>
                <m:t>×</m:t>
              </m:r>
              <m:r>
                <m:t>F</m:t>
              </m:r>
              <m:r>
                <m:t>C</m:t>
              </m:r>
            </m:oMath>
          </w:p>
        </w:tc>
        <w:tc>
          <w:tcPr/>
          <w:p>
            <w:pPr>
              <w:pStyle w:val="Compact"/>
            </w:pPr>
            <w:r>
              <w:t xml:space="preserve">Aplicável a metrô, VLT, BRT, corredor, qualificação viária, ciclovias e calçadas</w:t>
            </w:r>
          </w:p>
        </w:tc>
      </w:tr>
      <w:tr>
        <w:tc>
          <w:tcPr/>
          <w:p>
            <w:pPr>
              <w:pStyle w:val="Compact"/>
            </w:pPr>
            <w:r>
              <w:t xml:space="preserve">Aquisição de frota</w:t>
            </w:r>
          </w:p>
        </w:tc>
        <w:tc>
          <w:tcPr/>
          <w:p>
            <w:pPr>
              <w:pStyle w:val="Compact"/>
            </w:pPr>
            <m:oMath>
              <m:r>
                <m:t>P</m:t>
              </m:r>
              <m:sSub>
                <m:e>
                  <m:r>
                    <m:t>B</m:t>
                  </m:r>
                </m:e>
                <m:sub>
                  <m:r>
                    <m:t>m</m:t>
                  </m:r>
                  <m:r>
                    <m:t>o</m:t>
                  </m:r>
                  <m:r>
                    <m:t>b</m:t>
                  </m:r>
                </m:sub>
              </m:sSub>
              <m:r>
                <m:rPr>
                  <m:sty m:val="p"/>
                </m:rPr>
                <m:t>=</m:t>
              </m:r>
              <m:f>
                <m:fPr>
                  <m:type m:val="bar"/>
                </m:fPr>
                <m:num>
                  <m:r>
                    <m:t>I</m:t>
                  </m:r>
                  <m:r>
                    <m:t>N</m:t>
                  </m:r>
                  <m:r>
                    <m:t>V</m:t>
                  </m:r>
                </m:num>
                <m:den>
                  <m:sSub>
                    <m:e>
                      <m:r>
                        <m:t>C</m:t>
                      </m:r>
                    </m:e>
                    <m:sub>
                      <m:r>
                        <m:t>u</m:t>
                      </m:r>
                      <m:r>
                        <m:t>n</m:t>
                      </m:r>
                      <m:r>
                        <m:t>i</m:t>
                      </m:r>
                      <m:r>
                        <m:t>t</m:t>
                      </m:r>
                    </m:sub>
                  </m:sSub>
                </m:den>
              </m:f>
              <m:r>
                <m:rPr>
                  <m:sty m:val="p"/>
                </m:rPr>
                <m:t>×</m:t>
              </m:r>
              <m:sSub>
                <m:e>
                  <m:r>
                    <m:t>B</m:t>
                  </m:r>
                </m:e>
                <m:sub>
                  <m:r>
                    <m:t>u</m:t>
                  </m:r>
                  <m:r>
                    <m:t>n</m:t>
                  </m:r>
                  <m:r>
                    <m:t>i</m:t>
                  </m:r>
                  <m:r>
                    <m:t>t</m:t>
                  </m:r>
                </m:sub>
              </m:sSub>
            </m:oMath>
          </w:p>
        </w:tc>
        <w:tc>
          <w:tcPr/>
          <w:p>
            <w:pPr>
              <w:pStyle w:val="Compact"/>
            </w:pPr>
            <w:r>
              <w:t xml:space="preserve">Aplicável a ônibus, trens e composições</w:t>
            </w:r>
          </w:p>
        </w:tc>
      </w:tr>
      <w:tr>
        <w:tc>
          <w:tcPr/>
          <w:p>
            <w:pPr>
              <w:pStyle w:val="Compact"/>
            </w:pPr>
            <w:r>
              <w:t xml:space="preserve">Ausência de quilometragem</w:t>
            </w:r>
          </w:p>
        </w:tc>
        <w:tc>
          <w:tcPr/>
          <w:p>
            <w:pPr>
              <w:pStyle w:val="Compact"/>
            </w:pPr>
            <m:oMath>
              <m:sSub>
                <m:e>
                  <m:r>
                    <m:t>Q</m:t>
                  </m:r>
                </m:e>
                <m:sub>
                  <m:r>
                    <m:t>r</m:t>
                  </m:r>
                  <m:r>
                    <m:t>e</m:t>
                  </m:r>
                  <m:r>
                    <m:t>f</m:t>
                  </m:r>
                </m:sub>
              </m:sSub>
              <m:r>
                <m:rPr>
                  <m:sty m:val="p"/>
                </m:rPr>
                <m:t>=</m:t>
              </m:r>
              <m:f>
                <m:fPr>
                  <m:type m:val="bar"/>
                </m:fPr>
                <m:num>
                  <m:r>
                    <m:t>I</m:t>
                  </m:r>
                  <m:r>
                    <m:t>N</m:t>
                  </m:r>
                  <m:r>
                    <m:t>V</m:t>
                  </m:r>
                </m:num>
                <m:den>
                  <m:sSub>
                    <m:e>
                      <m:r>
                        <m:t>C</m:t>
                      </m:r>
                    </m:e>
                    <m:sub>
                      <m:r>
                        <m:t>m</m:t>
                      </m:r>
                      <m:r>
                        <m:t>e</m:t>
                      </m:r>
                      <m:r>
                        <m:t>d</m:t>
                      </m:r>
                      <m:r>
                        <m:rPr>
                          <m:sty m:val="p"/>
                        </m:rPr>
                        <m:t>,</m:t>
                      </m:r>
                      <m:r>
                        <m:t>m</m:t>
                      </m:r>
                      <m:r>
                        <m:t>o</m:t>
                      </m:r>
                      <m:r>
                        <m:t>d</m:t>
                      </m:r>
                    </m:sub>
                  </m:sSub>
                </m:den>
              </m:f>
            </m:oMath>
            <w:r>
              <w:t xml:space="preserve">;</w:t>
            </w:r>
            <w:r>
              <w:t xml:space="preserve"> </w:t>
            </w:r>
            <m:oMath>
              <m:r>
                <m:t>P</m:t>
              </m:r>
              <m:sSub>
                <m:e>
                  <m:r>
                    <m:t>B</m:t>
                  </m:r>
                </m:e>
                <m:sub>
                  <m:r>
                    <m:t>m</m:t>
                  </m:r>
                  <m:r>
                    <m:t>o</m:t>
                  </m:r>
                  <m:r>
                    <m:t>b</m:t>
                  </m:r>
                </m:sub>
              </m:sSub>
              <m:r>
                <m:rPr>
                  <m:sty m:val="p"/>
                </m:rPr>
                <m:t>=</m:t>
              </m:r>
              <m:sSub>
                <m:e>
                  <m:r>
                    <m:t>Q</m:t>
                  </m:r>
                </m:e>
                <m:sub>
                  <m:r>
                    <m:t>r</m:t>
                  </m:r>
                  <m:r>
                    <m:t>e</m:t>
                  </m:r>
                  <m:r>
                    <m:t>f</m:t>
                  </m:r>
                </m:sub>
              </m:sSub>
              <m:r>
                <m:rPr>
                  <m:sty m:val="p"/>
                </m:rPr>
                <m:t>×</m:t>
              </m:r>
              <m:r>
                <m:t>F</m:t>
              </m:r>
              <m:r>
                <m:t>I</m:t>
              </m:r>
              <m:r>
                <m:rPr>
                  <m:sty m:val="p"/>
                </m:rPr>
                <m:t>×</m:t>
              </m:r>
              <m:r>
                <m:t>D</m:t>
              </m:r>
              <m:r>
                <m:t>M</m:t>
              </m:r>
              <m:r>
                <m:rPr>
                  <m:sty m:val="p"/>
                </m:rPr>
                <m:t>×</m:t>
              </m:r>
              <m:r>
                <m:t>F</m:t>
              </m:r>
              <m:r>
                <m:t>T</m:t>
              </m:r>
              <m:r>
                <m:rPr>
                  <m:sty m:val="p"/>
                </m:rPr>
                <m:t>×</m:t>
              </m:r>
              <m:r>
                <m:t>F</m:t>
              </m:r>
              <m:r>
                <m:t>C</m:t>
              </m:r>
            </m:oMath>
          </w:p>
        </w:tc>
        <w:tc>
          <w:tcPr/>
          <w:p>
            <w:pPr>
              <w:pStyle w:val="Compact"/>
            </w:pPr>
            <w:r>
              <w:t xml:space="preserve">Aplicação subsidiária quando não houver informação sobre a extensão física</w:t>
            </w:r>
          </w:p>
        </w:tc>
      </w:tr>
      <w:tr>
        <w:tc>
          <w:tcPr/>
          <w:p>
            <w:pPr>
              <w:pStyle w:val="Compact"/>
            </w:pPr>
            <w:r>
              <w:t xml:space="preserve">Resultado agregado</w:t>
            </w:r>
          </w:p>
        </w:tc>
        <w:tc>
          <w:tcPr/>
          <w:p>
            <w:pPr>
              <w:pStyle w:val="Compact"/>
            </w:pPr>
            <m:oMath>
              <m:r>
                <m:t>P</m:t>
              </m:r>
              <m:sSub>
                <m:e>
                  <m:r>
                    <m:t>B</m:t>
                  </m:r>
                </m:e>
                <m:sub>
                  <m:r>
                    <m:t>m</m:t>
                  </m:r>
                  <m:r>
                    <m:t>o</m:t>
                  </m:r>
                  <m:r>
                    <m:t>b</m:t>
                  </m:r>
                  <m:r>
                    <m:rPr>
                      <m:sty m:val="p"/>
                    </m:rPr>
                    <m:t>,</m:t>
                  </m:r>
                  <m:r>
                    <m:t>f</m:t>
                  </m:r>
                  <m:r>
                    <m:t>i</m:t>
                  </m:r>
                  <m:r>
                    <m:t>n</m:t>
                  </m:r>
                  <m:r>
                    <m:t>a</m:t>
                  </m:r>
                  <m:r>
                    <m:t>l</m:t>
                  </m:r>
                </m:sub>
              </m:sSub>
              <m:r>
                <m:rPr>
                  <m:sty m:val="p"/>
                </m:rPr>
                <m:t>=</m:t>
              </m:r>
              <m:r>
                <m:rPr>
                  <m:sty m:val="p"/>
                </m:rPr>
                <m:t>∑</m:t>
              </m:r>
              <m:r>
                <m:t>P</m:t>
              </m:r>
              <m:sSub>
                <m:e>
                  <m:r>
                    <m:t>B</m:t>
                  </m:r>
                </m:e>
                <m:sub>
                  <m:r>
                    <m:t>m</m:t>
                  </m:r>
                  <m:r>
                    <m:t>o</m:t>
                  </m:r>
                  <m:r>
                    <m:t>b</m:t>
                  </m:r>
                  <m:r>
                    <m:rPr>
                      <m:sty m:val="p"/>
                    </m:rPr>
                    <m:t>,</m:t>
                  </m:r>
                  <m:r>
                    <m:t>l</m:t>
                  </m:r>
                  <m:r>
                    <m:t>i</m:t>
                  </m:r>
                  <m:r>
                    <m:t>n</m:t>
                  </m:r>
                  <m:r>
                    <m:t>e</m:t>
                  </m:r>
                  <m:r>
                    <m:t>a</m:t>
                  </m:r>
                  <m:r>
                    <m:t>r</m:t>
                  </m:r>
                  <m:r>
                    <m:t>e</m:t>
                  </m:r>
                  <m:r>
                    <m:t>s</m:t>
                  </m:r>
                </m:sub>
              </m:sSub>
              <m:r>
                <m:rPr>
                  <m:sty m:val="p"/>
                </m:rPr>
                <m:t>+</m:t>
              </m:r>
              <m:r>
                <m:rPr>
                  <m:sty m:val="p"/>
                </m:rPr>
                <m:t>∑</m:t>
              </m:r>
              <m:r>
                <m:t>P</m:t>
              </m:r>
              <m:sSub>
                <m:e>
                  <m:r>
                    <m:t>B</m:t>
                  </m:r>
                </m:e>
                <m:sub>
                  <m:r>
                    <m:t>m</m:t>
                  </m:r>
                  <m:r>
                    <m:t>o</m:t>
                  </m:r>
                  <m:r>
                    <m:t>b</m:t>
                  </m:r>
                  <m:r>
                    <m:rPr>
                      <m:sty m:val="p"/>
                    </m:rPr>
                    <m:t>,</m:t>
                  </m:r>
                  <m:r>
                    <m:t>f</m:t>
                  </m:r>
                  <m:r>
                    <m:t>r</m:t>
                  </m:r>
                  <m:r>
                    <m:t>o</m:t>
                  </m:r>
                  <m:r>
                    <m:t>t</m:t>
                  </m:r>
                  <m:r>
                    <m:t>a</m:t>
                  </m:r>
                </m:sub>
              </m:sSub>
            </m:oMath>
          </w:p>
        </w:tc>
        <w:tc>
          <w:tcPr/>
          <w:p>
            <w:pPr>
              <w:pStyle w:val="Compact"/>
            </w:pPr>
            <w:r>
              <w:t xml:space="preserve">Aplicável à consolidação por carteira, programa, município, UF ou conjunto de operações</w:t>
            </w:r>
          </w:p>
        </w:tc>
      </w:tr>
    </w:tbl>
    <w:bookmarkEnd w:id="50"/>
    <w:bookmarkStart w:id="51" w:name="X95cc059fbb951fd5ef59daf48702618c1501063"/>
    <w:p>
      <w:pPr>
        <w:pStyle w:val="Heading3"/>
      </w:pPr>
      <w:r>
        <w:t xml:space="preserve">17. Tabela consolidada de parâmetros iniciais</w:t>
      </w:r>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Tabela 4. Parâmetros consolidados da metodologia</w:t>
      </w:r>
    </w:p>
    <w:p>
      <w:pPr>
        <w:spacing w:before="0" w:after="60"/>
        <w:keepNext/>
        <w:jc w:val="start"/>
        <w:pStyle w:val="caption"/>
      </w:pPr>
      <w:r>
        <w:rPr>
          <w:rFonts w:ascii="Calibri" w:hAnsi="Calibri"/>
          <w:sz w:val="20"/>
          <w:color w:val="333333"/>
        </w:rPr>
        <w:t xml:space="default">Valores iniciais recomendados para aplicação parametrizada</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Tipologia</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FI (km)</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FT</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FC baixo</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FC médio</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FC alto</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Metrô</w:t>
            </w:r>
          </w:p>
        </w:tc>
        <w:tc>
          <w:tcPr>
            <w:tcBorders>
              <w:top w:val="single" w:space="0" w:color="D9E2F2"/>
              <w:bottom w:val="single" w:space="0" w:color="D9E2F2"/>
              <w:start w:val="single" w:space="0" w:color="929292"/>
              <w:end w:val="single" w:space="0" w:color="929292"/>
            </w:tcBorders>
            <w:shd w:val="clear" w:color="auto" w:fill="2C5AA0"/>
          </w:tcPr>
          <w:p>
            <w:pPr>
              <w:spacing w:before="0" w:after="60"/>
              <w:keepNext/>
              <w:jc w:val="end"/>
            </w:pPr>
            <w:r>
              <w:rPr>
                <w:rFonts w:ascii="Calibri" w:hAnsi="Calibri"/>
                <w:sz w:val="20"/>
                <w:color w:val="FFFFFF"/>
              </w:rPr>
              <w:t xml:space="default">4,0</w:t>
            </w:r>
          </w:p>
        </w:tc>
        <w:tc>
          <w:tcPr>
            <w:tcBorders>
              <w:top w:val="single" w:space="0" w:color="D9E2F2"/>
              <w:bottom w:val="single" w:space="0" w:color="D9E2F2"/>
              <w:start w:val="single" w:space="0" w:color="929292"/>
              <w:end w:val="single" w:space="0" w:color="929292"/>
            </w:tcBorders>
            <w:shd w:val="clear" w:color="auto" w:fill="B85C00"/>
          </w:tcPr>
          <w:p>
            <w:pPr>
              <w:spacing w:before="0" w:after="60"/>
              <w:keepNext/>
              <w:jc w:val="end"/>
            </w:pPr>
            <w:r>
              <w:rPr>
                <w:rFonts w:ascii="Calibri" w:hAnsi="Calibri"/>
                <w:sz w:val="20"/>
                <w:color w:val="FFFFFF"/>
              </w:rPr>
              <w:t xml:space="default">1,00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0,85</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1,00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1,25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Trem urbano</w:t>
            </w:r>
          </w:p>
        </w:tc>
        <w:tc>
          <w:tcPr>
            <w:tcBorders>
              <w:top w:val="single" w:space="0" w:color="D9E2F2"/>
              <w:bottom w:val="single" w:space="0" w:color="D9E2F2"/>
              <w:start w:val="single" w:space="0" w:color="929292"/>
              <w:end w:val="single" w:space="0" w:color="929292"/>
            </w:tcBorders>
            <w:shd w:val="clear" w:color="auto" w:fill="91B8E5"/>
          </w:tcPr>
          <w:p>
            <w:pPr>
              <w:spacing w:before="0" w:after="60"/>
              <w:keepNext/>
              <w:jc w:val="end"/>
            </w:pPr>
            <w:r>
              <w:rPr>
                <w:rFonts w:ascii="Calibri" w:hAnsi="Calibri"/>
                <w:sz w:val="20"/>
                <w:color w:val="000000"/>
              </w:rPr>
              <w:t xml:space="default">2,0</w:t>
            </w:r>
          </w:p>
        </w:tc>
        <w:tc>
          <w:tcPr>
            <w:tcBorders>
              <w:top w:val="single" w:space="0" w:color="D9E2F2"/>
              <w:bottom w:val="single" w:space="0" w:color="D9E2F2"/>
              <w:start w:val="single" w:space="0" w:color="929292"/>
              <w:end w:val="single" w:space="0" w:color="929292"/>
            </w:tcBorders>
            <w:shd w:val="clear" w:color="auto" w:fill="E38122"/>
          </w:tcPr>
          <w:p>
            <w:pPr>
              <w:spacing w:before="0" w:after="60"/>
              <w:keepNext/>
              <w:jc w:val="end"/>
            </w:pPr>
            <w:r>
              <w:rPr>
                <w:rFonts w:ascii="Calibri" w:hAnsi="Calibri"/>
                <w:sz w:val="20"/>
                <w:color w:val="FFFFFF"/>
              </w:rPr>
              <w:t xml:space="default">0,80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0,85</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1,00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1,25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VLT</w:t>
            </w:r>
          </w:p>
        </w:tc>
        <w:tc>
          <w:tcPr>
            <w:tcBorders>
              <w:top w:val="single" w:space="0" w:color="D9E2F2"/>
              <w:bottom w:val="single" w:space="0" w:color="D9E2F2"/>
              <w:start w:val="single" w:space="0" w:color="929292"/>
              <w:end w:val="single" w:space="0" w:color="929292"/>
            </w:tcBorders>
            <w:shd w:val="clear" w:color="auto" w:fill="B1CEF2"/>
          </w:tcPr>
          <w:p>
            <w:pPr>
              <w:spacing w:before="0" w:after="60"/>
              <w:keepNext/>
              <w:jc w:val="end"/>
            </w:pPr>
            <w:r>
              <w:rPr>
                <w:rFonts w:ascii="Calibri" w:hAnsi="Calibri"/>
                <w:sz w:val="20"/>
                <w:color w:val="000000"/>
              </w:rPr>
              <w:t xml:space="default">1,5</w:t>
            </w:r>
          </w:p>
        </w:tc>
        <w:tc>
          <w:tcPr>
            <w:tcBorders>
              <w:top w:val="single" w:space="0" w:color="D9E2F2"/>
              <w:bottom w:val="single" w:space="0" w:color="D9E2F2"/>
              <w:start w:val="single" w:space="0" w:color="929292"/>
              <w:end w:val="single" w:space="0" w:color="929292"/>
            </w:tcBorders>
            <w:shd w:val="clear" w:color="auto" w:fill="F7C280"/>
          </w:tcPr>
          <w:p>
            <w:pPr>
              <w:spacing w:before="0" w:after="60"/>
              <w:keepNext/>
              <w:jc w:val="end"/>
            </w:pPr>
            <w:r>
              <w:rPr>
                <w:rFonts w:ascii="Calibri" w:hAnsi="Calibri"/>
                <w:sz w:val="20"/>
                <w:color w:val="000000"/>
              </w:rPr>
              <w:t xml:space="default">0,50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0,85</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1,00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1,25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BRT</w:t>
            </w:r>
          </w:p>
        </w:tc>
        <w:tc>
          <w:tcPr>
            <w:tcBorders>
              <w:top w:val="single" w:space="0" w:color="D9E2F2"/>
              <w:bottom w:val="single" w:space="0" w:color="D9E2F2"/>
              <w:start w:val="single" w:space="0" w:color="929292"/>
              <w:end w:val="single" w:space="0" w:color="929292"/>
            </w:tcBorders>
            <w:shd w:val="clear" w:color="auto" w:fill="B1CEF2"/>
          </w:tcPr>
          <w:p>
            <w:pPr>
              <w:spacing w:before="0" w:after="60"/>
              <w:keepNext/>
              <w:jc w:val="end"/>
            </w:pPr>
            <w:r>
              <w:rPr>
                <w:rFonts w:ascii="Calibri" w:hAnsi="Calibri"/>
                <w:sz w:val="20"/>
                <w:color w:val="000000"/>
              </w:rPr>
              <w:t xml:space="default">1,5</w:t>
            </w:r>
          </w:p>
        </w:tc>
        <w:tc>
          <w:tcPr>
            <w:tcBorders>
              <w:top w:val="single" w:space="0" w:color="D9E2F2"/>
              <w:bottom w:val="single" w:space="0" w:color="D9E2F2"/>
              <w:start w:val="single" w:space="0" w:color="929292"/>
              <w:end w:val="single" w:space="0" w:color="929292"/>
            </w:tcBorders>
            <w:shd w:val="clear" w:color="auto" w:fill="F7AC5D"/>
          </w:tcPr>
          <w:p>
            <w:pPr>
              <w:spacing w:before="0" w:after="60"/>
              <w:keepNext/>
              <w:jc w:val="end"/>
            </w:pPr>
            <w:r>
              <w:rPr>
                <w:rFonts w:ascii="Calibri" w:hAnsi="Calibri"/>
                <w:sz w:val="20"/>
                <w:color w:val="000000"/>
              </w:rPr>
              <w:t xml:space="default">0,60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0,85</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1,00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1,25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Corredor de ônibus</w:t>
            </w:r>
          </w:p>
        </w:tc>
        <w:tc>
          <w:tcPr>
            <w:tcBorders>
              <w:top w:val="single" w:space="0" w:color="D9E2F2"/>
              <w:bottom w:val="single" w:space="0" w:color="D9E2F2"/>
              <w:start w:val="single" w:space="0" w:color="929292"/>
              <w:end w:val="single" w:space="0" w:color="929292"/>
            </w:tcBorders>
            <w:shd w:val="clear" w:color="auto" w:fill="C8DCF6"/>
          </w:tcPr>
          <w:p>
            <w:pPr>
              <w:spacing w:before="0" w:after="60"/>
              <w:keepNext/>
              <w:jc w:val="end"/>
            </w:pPr>
            <w:r>
              <w:rPr>
                <w:rFonts w:ascii="Calibri" w:hAnsi="Calibri"/>
                <w:sz w:val="20"/>
                <w:color w:val="000000"/>
              </w:rPr>
              <w:t xml:space="default">1,0</w:t>
            </w:r>
          </w:p>
        </w:tc>
        <w:tc>
          <w:tcPr>
            <w:tcBorders>
              <w:top w:val="single" w:space="0" w:color="D9E2F2"/>
              <w:bottom w:val="single" w:space="0" w:color="D9E2F2"/>
              <w:start w:val="single" w:space="0" w:color="929292"/>
              <w:end w:val="single" w:space="0" w:color="929292"/>
            </w:tcBorders>
            <w:shd w:val="clear" w:color="auto" w:fill="F7C280"/>
          </w:tcPr>
          <w:p>
            <w:pPr>
              <w:spacing w:before="0" w:after="60"/>
              <w:keepNext/>
              <w:jc w:val="end"/>
            </w:pPr>
            <w:r>
              <w:rPr>
                <w:rFonts w:ascii="Calibri" w:hAnsi="Calibri"/>
                <w:sz w:val="20"/>
                <w:color w:val="000000"/>
              </w:rPr>
              <w:t xml:space="default">0,50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0,85</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1,00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1,25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Qualificação viária</w:t>
            </w:r>
          </w:p>
        </w:tc>
        <w:tc>
          <w:tcPr>
            <w:tcBorders>
              <w:top w:val="single" w:space="0" w:color="D9E2F2"/>
              <w:bottom w:val="single" w:space="0" w:color="D9E2F2"/>
              <w:start w:val="single" w:space="0" w:color="929292"/>
              <w:end w:val="single" w:space="0" w:color="929292"/>
            </w:tcBorders>
            <w:shd w:val="clear" w:color="auto" w:fill="C8DCF6"/>
          </w:tcPr>
          <w:p>
            <w:pPr>
              <w:spacing w:before="0" w:after="60"/>
              <w:keepNext/>
              <w:jc w:val="end"/>
            </w:pPr>
            <w:r>
              <w:rPr>
                <w:rFonts w:ascii="Calibri" w:hAnsi="Calibri"/>
                <w:sz w:val="20"/>
                <w:color w:val="000000"/>
              </w:rPr>
              <w:t xml:space="default">1,0</w:t>
            </w:r>
          </w:p>
        </w:tc>
        <w:tc>
          <w:tcPr>
            <w:tcBorders>
              <w:top w:val="single" w:space="0" w:color="D9E2F2"/>
              <w:bottom w:val="single" w:space="0" w:color="D9E2F2"/>
              <w:start w:val="single" w:space="0" w:color="929292"/>
              <w:end w:val="single" w:space="0" w:color="929292"/>
            </w:tcBorders>
            <w:shd w:val="clear" w:color="auto" w:fill="FAD3A2"/>
          </w:tcPr>
          <w:p>
            <w:pPr>
              <w:spacing w:before="0" w:after="60"/>
              <w:keepNext/>
              <w:jc w:val="end"/>
            </w:pPr>
            <w:r>
              <w:rPr>
                <w:rFonts w:ascii="Calibri" w:hAnsi="Calibri"/>
                <w:sz w:val="20"/>
                <w:color w:val="000000"/>
              </w:rPr>
              <w:t xml:space="default">0,40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0,85</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1,00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1,25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Ciclovia / ciclofaixa</w:t>
            </w:r>
          </w:p>
        </w:tc>
        <w:tc>
          <w:tcPr>
            <w:tcBorders>
              <w:top w:val="single" w:space="0" w:color="D9E2F2"/>
              <w:bottom w:val="single" w:space="0" w:color="D9E2F2"/>
              <w:start w:val="single" w:space="0" w:color="929292"/>
              <w:end w:val="single" w:space="0" w:color="929292"/>
            </w:tcBorders>
            <w:shd w:val="clear" w:color="auto" w:fill="DAE8F9"/>
          </w:tcPr>
          <w:p>
            <w:pPr>
              <w:spacing w:before="0" w:after="60"/>
              <w:keepNext/>
              <w:jc w:val="end"/>
            </w:pPr>
            <w:r>
              <w:rPr>
                <w:rFonts w:ascii="Calibri" w:hAnsi="Calibri"/>
                <w:sz w:val="20"/>
                <w:color w:val="000000"/>
              </w:rPr>
              <w:t xml:space="default">0,6</w:t>
            </w:r>
          </w:p>
        </w:tc>
        <w:tc>
          <w:tcPr>
            <w:tcBorders>
              <w:top w:val="single" w:space="0" w:color="D9E2F2"/>
              <w:bottom w:val="single" w:space="0" w:color="D9E2F2"/>
              <w:start w:val="single" w:space="0" w:color="929292"/>
              <w:end w:val="single" w:space="0" w:color="929292"/>
            </w:tcBorders>
            <w:shd w:val="clear" w:color="auto" w:fill="FDF3E7"/>
          </w:tcPr>
          <w:p>
            <w:pPr>
              <w:spacing w:before="0" w:after="60"/>
              <w:keepNext/>
              <w:jc w:val="end"/>
            </w:pPr>
            <w:r>
              <w:rPr>
                <w:rFonts w:ascii="Calibri" w:hAnsi="Calibri"/>
                <w:sz w:val="20"/>
                <w:color w:val="000000"/>
              </w:rPr>
              <w:t xml:space="default">0,20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0,85</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1,00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1,25</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Calçada / acessibilidade</w:t>
            </w:r>
          </w:p>
        </w:tc>
        <w:tc>
          <w:tcPr>
            <w:tcBorders>
              <w:top w:val="single" w:space="0" w:color="D9E2F2"/>
              <w:bottom w:val="single" w:space="0" w:color="D9E2F2"/>
              <w:start w:val="single" w:space="0" w:color="929292"/>
              <w:end w:val="single" w:space="0" w:color="929292"/>
            </w:tcBorders>
            <w:shd w:val="clear" w:color="auto" w:fill="E8F1FB"/>
          </w:tcPr>
          <w:p>
            <w:pPr>
              <w:spacing w:before="0" w:after="60"/>
              <w:keepNext/>
              <w:jc w:val="end"/>
            </w:pPr>
            <w:r>
              <w:rPr>
                <w:rFonts w:ascii="Calibri" w:hAnsi="Calibri"/>
                <w:sz w:val="20"/>
                <w:color w:val="000000"/>
              </w:rPr>
              <w:t xml:space="default">0,3</w:t>
            </w:r>
          </w:p>
        </w:tc>
        <w:tc>
          <w:tcPr>
            <w:tcBorders>
              <w:top w:val="single" w:space="0" w:color="D9E2F2"/>
              <w:bottom w:val="single" w:space="0" w:color="D9E2F2"/>
              <w:start w:val="single" w:space="0" w:color="929292"/>
              <w:end w:val="single" w:space="0" w:color="929292"/>
            </w:tcBorders>
            <w:shd w:val="clear" w:color="auto" w:fill="FCE3C4"/>
          </w:tcPr>
          <w:p>
            <w:pPr>
              <w:spacing w:before="0" w:after="60"/>
              <w:keepNext/>
              <w:jc w:val="end"/>
            </w:pPr>
            <w:r>
              <w:rPr>
                <w:rFonts w:ascii="Calibri" w:hAnsi="Calibri"/>
                <w:sz w:val="20"/>
                <w:color w:val="000000"/>
              </w:rPr>
              <w:t xml:space="default">0,30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0,85</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1,00</w:t>
            </w:r>
          </w:p>
        </w:tc>
        <w:tc>
          <w:tcPr>
            <w:tcBorders>
              <w:top w:val="single" w:space="0" w:color="D9E2F2"/>
              <w:bottom w:val="single" w:space="0" w:color="D9E2F2"/>
              <w:start w:val="single" w:space="0" w:color="929292"/>
              <w:end w:val="single" w:space="0" w:color="929292"/>
            </w:tcBorders>
            <w:shd w:val="clear" w:color="auto" w:fill="EE8983"/>
          </w:tcPr>
          <w:p>
            <w:pPr>
              <w:spacing w:before="0" w:after="60"/>
              <w:keepNext/>
              <w:jc w:val="end"/>
            </w:pPr>
            <w:r>
              <w:rPr>
                <w:rFonts w:ascii="Calibri" w:hAnsi="Calibri"/>
                <w:sz w:val="20"/>
                <w:color w:val="000000"/>
              </w:rPr>
              <w:t xml:space="default">1,25</w:t>
            </w:r>
          </w:p>
        </w:tc>
      </w:tr>
    </w:tbl>
    <w:bookmarkEnd w:id="51"/>
    <w:bookmarkStart w:id="63" w:name="Xf07178e31669f3a379278d8bec92f67e002b4d8"/>
    <w:p>
      <w:pPr>
        <w:pStyle w:val="Heading3"/>
      </w:pPr>
      <w:r>
        <w:t xml:space="preserve">18. Estimativa da população beneficiada a partir do orçamento anual previsto (Item 18)</w:t>
      </w:r>
    </w:p>
    <w:p>
      <w:pPr>
        <w:pStyle w:val="FirstParagraph"/>
      </w:pPr>
      <w:r>
        <w:t xml:space="preserve">Esta seção apresenta uma metodologia complementar, de natureza distinta das formulações anteriores. Enquanto as seções precedentes tratam da estimativa aplicável à</w:t>
      </w:r>
      <w:r>
        <w:t xml:space="preserve"> </w:t>
      </w:r>
      <w:r>
        <w:rPr>
          <w:b/>
          <w:bCs/>
        </w:rPr>
        <w:t xml:space="preserve">carteira definida</w:t>
      </w:r>
      <w:r>
        <w:t xml:space="preserve"> </w:t>
      </w:r>
      <w:r>
        <w:t xml:space="preserve">(empreendimento individual ou relação específica de contratos), o presente procedimento destina-se a estimar a</w:t>
      </w:r>
      <w:r>
        <w:t xml:space="preserve"> </w:t>
      </w:r>
      <w:r>
        <w:rPr>
          <w:b/>
          <w:bCs/>
        </w:rPr>
        <w:t xml:space="preserve">população potencialmente beneficiada pelo conjunto de operações previstas em um exercício orçamentário</w:t>
      </w:r>
      <w:r>
        <w:t xml:space="preserve">, a partir exclusivamente do montante global (habitualmente referido como</w:t>
      </w:r>
      <w:r>
        <w:t xml:space="preserve"> </w:t>
      </w:r>
      <w:r>
        <w:t xml:space="preserve">“Item 18”</w:t>
      </w:r>
      <w:r>
        <w:t xml:space="preserve"> </w:t>
      </w:r>
      <w:r>
        <w:t xml:space="preserve">no anexo de Metas Físicas).</w:t>
      </w:r>
    </w:p>
    <w:p>
      <w:pPr>
        <w:pStyle w:val="BodyText"/>
      </w:pPr>
      <w:r>
        <w:t xml:space="preserve">Essa necessidade surge tipicamente no contexto de elaboração do Orçamento Operacional do FGTS, conforme previsto na Resolução nº 702/2012, quando ainda não se dispõe de projetos individualmente identificados — apenas do montante global alocado para o período.</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2" name="Picture"/>
                  <a:graphic>
                    <a:graphicData uri="http://schemas.openxmlformats.org/drawingml/2006/picture">
                      <pic:pic>
                        <pic:nvPicPr>
                          <pic:cNvPr descr="/opt/quarto/share/formats/docx/note.png" id="53"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Esta estimativa não substitui os cálculos por empreendimento individual. Sua finalidade é exclusivamente subsidiar o planejamento orçamentário e o registro de metas físicas no Orçamento Operacional, antes que os projetos estejam identificados individualmente.</w:t>
            </w:r>
          </w:p>
        </w:tc>
      </w:tr>
    </w:tbl>
    <w:bookmarkStart w:id="54" w:name="lógica-da-estimativa"/>
    <w:p>
      <w:pPr>
        <w:pStyle w:val="Heading4"/>
      </w:pPr>
      <w:r>
        <w:t xml:space="preserve">18.1 Lógica da estimativa</w:t>
      </w:r>
    </w:p>
    <w:p>
      <w:pPr>
        <w:pStyle w:val="FirstParagraph"/>
      </w:pPr>
      <w:r>
        <w:t xml:space="preserve">O ponto de partida é o</w:t>
      </w:r>
      <w:r>
        <w:t xml:space="preserve"> </w:t>
      </w:r>
      <w:r>
        <w:rPr>
          <w:b/>
          <w:bCs/>
        </w:rPr>
        <w:t xml:space="preserve">orçamento total previsto</w:t>
      </w:r>
      <w:r>
        <w:t xml:space="preserve"> </w:t>
      </w:r>
      <w:r>
        <w:t xml:space="preserve">para o exercício (</w:t>
      </w:r>
      <m:oMath>
        <m:r>
          <m:t>I</m:t>
        </m:r>
        <m:r>
          <m:t>N</m:t>
        </m:r>
        <m:sSub>
          <m:e>
            <m:r>
              <m:t>V</m:t>
            </m:r>
          </m:e>
          <m:sub>
            <m:r>
              <m:t>o</m:t>
            </m:r>
            <m:r>
              <m:t>r</m:t>
            </m:r>
            <m:r>
              <m:t>ç</m:t>
            </m:r>
          </m:sub>
        </m:sSub>
      </m:oMath>
      <w:r>
        <w:t xml:space="preserve">). A estimativa é construída em três etapas:</w:t>
      </w:r>
    </w:p>
    <w:p>
      <w:pPr>
        <w:pStyle w:val="BodyText"/>
      </w:pPr>
      <w:r>
        <w:rPr>
          <w:b/>
          <w:bCs/>
        </w:rPr>
        <w:t xml:space="preserve">Etapa 1 — Divisão do orçamento por componente.</w:t>
      </w:r>
      <w:r>
        <w:t xml:space="preserve"> </w:t>
      </w:r>
      <w:r>
        <w:t xml:space="preserve">Com base no histórico de execução dos últimos cinco anos, calcula-se a participação percentual dos dois grandes componentes de investimento:</w:t>
      </w:r>
    </w:p>
    <w:p>
      <w:pPr>
        <w:pStyle w:val="BodyText"/>
      </w:pPr>
      <m:oMathPara>
        <m:oMathParaPr>
          <m:jc m:val="center"/>
        </m:oMathParaPr>
        <m:oMath>
          <m:r>
            <m:t>α</m:t>
          </m:r>
          <m:r>
            <m:rPr>
              <m:sty m:val="p"/>
            </m:rPr>
            <m:t>=</m:t>
          </m:r>
          <m:f>
            <m:fPr>
              <m:type m:val="bar"/>
            </m:fPr>
            <m:num>
              <m:r>
                <m:rPr>
                  <m:nor/>
                  <m:sty m:val="p"/>
                </m:rPr>
                <m:t>valor histórico de obras lineares</m:t>
              </m:r>
            </m:num>
            <m:den>
              <m:r>
                <m:rPr>
                  <m:nor/>
                  <m:sty m:val="p"/>
                </m:rPr>
                <m:t>valor histórico total</m:t>
              </m:r>
            </m:den>
          </m:f>
          <m:r>
            <m:t>  </m:t>
          </m:r>
          <m:r>
            <m:t>β</m:t>
          </m:r>
          <m:r>
            <m:rPr>
              <m:sty m:val="p"/>
            </m:rPr>
            <m:t>=</m:t>
          </m:r>
          <m:f>
            <m:fPr>
              <m:type m:val="bar"/>
            </m:fPr>
            <m:num>
              <m:r>
                <m:rPr>
                  <m:nor/>
                  <m:sty m:val="p"/>
                </m:rPr>
                <m:t>valor histórico de aquisição de frota</m:t>
              </m:r>
            </m:num>
            <m:den>
              <m:r>
                <m:rPr>
                  <m:nor/>
                  <m:sty m:val="p"/>
                </m:rPr>
                <m:t>valor histórico total</m:t>
              </m:r>
            </m:den>
          </m:f>
          <m:r>
            <m:t>  </m:t>
          </m:r>
          <m:r>
            <m:t>α</m:t>
          </m:r>
          <m:r>
            <m:rPr>
              <m:sty m:val="p"/>
            </m:rPr>
            <m:t>+</m:t>
          </m:r>
          <m:r>
            <m:t>β</m:t>
          </m:r>
          <m:r>
            <m:rPr>
              <m:sty m:val="p"/>
            </m:rPr>
            <m:t>=</m:t>
          </m:r>
          <m:r>
            <m:t>1</m:t>
          </m:r>
        </m:oMath>
      </m:oMathPara>
    </w:p>
    <w:p>
      <w:pPr>
        <w:pStyle w:val="FirstParagraph"/>
      </w:pPr>
      <w:r>
        <w:t xml:space="preserve">O orçamento previsto é então alocado proporcionalmente:</w:t>
      </w:r>
    </w:p>
    <w:p>
      <w:pPr>
        <w:pStyle w:val="BodyText"/>
      </w:pPr>
      <m:oMathPara>
        <m:oMathParaPr>
          <m:jc m:val="center"/>
        </m:oMathParaPr>
        <m:oMath>
          <m:r>
            <m:t>I</m:t>
          </m:r>
          <m:r>
            <m:t>N</m:t>
          </m:r>
          <m:sSub>
            <m:e>
              <m:r>
                <m:t>V</m:t>
              </m:r>
            </m:e>
            <m:sub>
              <m:r>
                <m:rPr>
                  <m:nor/>
                  <m:sty m:val="p"/>
                </m:rPr>
                <m:t>lineares</m:t>
              </m:r>
            </m:sub>
          </m:sSub>
          <m:r>
            <m:rPr>
              <m:sty m:val="p"/>
            </m:rPr>
            <m:t>=</m:t>
          </m:r>
          <m:r>
            <m:t>α</m:t>
          </m:r>
          <m:r>
            <m:rPr>
              <m:sty m:val="p"/>
            </m:rPr>
            <m:t>×</m:t>
          </m:r>
          <m:r>
            <m:t>I</m:t>
          </m:r>
          <m:r>
            <m:t>N</m:t>
          </m:r>
          <m:sSub>
            <m:e>
              <m:r>
                <m:t>V</m:t>
              </m:r>
            </m:e>
            <m:sub>
              <m:r>
                <m:t>o</m:t>
              </m:r>
              <m:r>
                <m:t>r</m:t>
              </m:r>
              <m:r>
                <m:t>ç</m:t>
              </m:r>
            </m:sub>
          </m:sSub>
          <m:r>
            <m:t>  </m:t>
          </m:r>
          <m:r>
            <m:t>I</m:t>
          </m:r>
          <m:r>
            <m:t>N</m:t>
          </m:r>
          <m:sSub>
            <m:e>
              <m:r>
                <m:t>V</m:t>
              </m:r>
            </m:e>
            <m:sub>
              <m:r>
                <m:rPr>
                  <m:nor/>
                  <m:sty m:val="p"/>
                </m:rPr>
                <m:t>frota</m:t>
              </m:r>
            </m:sub>
          </m:sSub>
          <m:r>
            <m:rPr>
              <m:sty m:val="p"/>
            </m:rPr>
            <m:t>=</m:t>
          </m:r>
          <m:r>
            <m:t>β</m:t>
          </m:r>
          <m:r>
            <m:rPr>
              <m:sty m:val="p"/>
            </m:rPr>
            <m:t>×</m:t>
          </m:r>
          <m:r>
            <m:t>I</m:t>
          </m:r>
          <m:r>
            <m:t>N</m:t>
          </m:r>
          <m:sSub>
            <m:e>
              <m:r>
                <m:t>V</m:t>
              </m:r>
            </m:e>
            <m:sub>
              <m:r>
                <m:t>o</m:t>
              </m:r>
              <m:r>
                <m:t>r</m:t>
              </m:r>
              <m:r>
                <m:t>ç</m:t>
              </m:r>
            </m:sub>
          </m:sSub>
        </m:oMath>
      </m:oMathPara>
    </w:p>
    <w:p>
      <w:pPr>
        <w:pStyle w:val="FirstParagraph"/>
      </w:pPr>
      <w:r>
        <w:rPr>
          <w:b/>
          <w:bCs/>
        </w:rPr>
        <w:t xml:space="preserve">Etapa 2 — Estimativa por componente.</w:t>
      </w:r>
      <w:r>
        <w:t xml:space="preserve"> </w:t>
      </w:r>
      <w:r>
        <w:t xml:space="preserve">Cada parcela do orçamento é convertida em população potencialmente beneficiada por meio das fórmulas da metodologia, com parâmetros ponderados pela composição histórica da carteira (ver seção 18.2).</w:t>
      </w:r>
    </w:p>
    <w:p>
      <w:pPr>
        <w:pStyle w:val="BodyText"/>
      </w:pPr>
      <w:r>
        <w:rPr>
          <w:b/>
          <w:bCs/>
        </w:rPr>
        <w:t xml:space="preserve">Etapa 3 — Agregação.</w:t>
      </w:r>
    </w:p>
    <w:p>
      <w:pPr>
        <w:pStyle w:val="BodyText"/>
      </w:pPr>
      <m:oMathPara>
        <m:oMathParaPr>
          <m:jc m:val="center"/>
        </m:oMathParaPr>
        <m:oMath>
          <m:r>
            <m:t>P</m:t>
          </m:r>
          <m:sSub>
            <m:e>
              <m:r>
                <m:t>B</m:t>
              </m:r>
            </m:e>
            <m:sub>
              <m:r>
                <m:t>o</m:t>
              </m:r>
              <m:r>
                <m:t>r</m:t>
              </m:r>
              <m:r>
                <m:t>ç</m:t>
              </m:r>
            </m:sub>
          </m:sSub>
          <m:r>
            <m:rPr>
              <m:sty m:val="p"/>
            </m:rPr>
            <m:t>=</m:t>
          </m:r>
          <m:r>
            <m:t>P</m:t>
          </m:r>
          <m:sSub>
            <m:e>
              <m:r>
                <m:t>B</m:t>
              </m:r>
            </m:e>
            <m:sub>
              <m:r>
                <m:rPr>
                  <m:nor/>
                  <m:sty m:val="p"/>
                </m:rPr>
                <m:t>lineares</m:t>
              </m:r>
            </m:sub>
          </m:sSub>
          <m:r>
            <m:rPr>
              <m:sty m:val="p"/>
            </m:rPr>
            <m:t>+</m:t>
          </m:r>
          <m:r>
            <m:t>P</m:t>
          </m:r>
          <m:sSub>
            <m:e>
              <m:r>
                <m:t>B</m:t>
              </m:r>
            </m:e>
            <m:sub>
              <m:r>
                <m:rPr>
                  <m:nor/>
                  <m:sty m:val="p"/>
                </m:rPr>
                <m:t>frota</m:t>
              </m:r>
            </m:sub>
          </m:sSub>
        </m:oMath>
      </m:oMathPara>
    </w:p>
    <w:bookmarkEnd w:id="54"/>
    <w:bookmarkStart w:id="55" w:name="fórmulas-por-componente"/>
    <w:p>
      <w:pPr>
        <w:pStyle w:val="Heading4"/>
      </w:pPr>
      <w:r>
        <w:t xml:space="preserve">18.2 Fórmulas por componente</w:t>
      </w:r>
    </w:p>
    <w:p>
      <w:pPr>
        <w:pStyle w:val="FirstParagraph"/>
      </w:pPr>
      <w:r>
        <w:rPr>
          <w:b/>
          <w:bCs/>
        </w:rPr>
        <w:t xml:space="preserve">Obras lineares:</w:t>
      </w:r>
    </w:p>
    <w:p>
      <w:pPr>
        <w:pStyle w:val="BodyText"/>
      </w:pPr>
      <m:oMathPara>
        <m:oMathParaPr>
          <m:jc m:val="center"/>
        </m:oMathParaPr>
        <m:oMath>
          <m:r>
            <m:t>P</m:t>
          </m:r>
          <m:sSub>
            <m:e>
              <m:r>
                <m:t>B</m:t>
              </m:r>
            </m:e>
            <m:sub>
              <m:r>
                <m:rPr>
                  <m:nor/>
                  <m:sty m:val="p"/>
                </m:rPr>
                <m:t>lineares</m:t>
              </m:r>
            </m:sub>
          </m:sSub>
          <m:r>
            <m:rPr>
              <m:sty m:val="p"/>
            </m:rPr>
            <m:t>=</m:t>
          </m:r>
          <m:f>
            <m:fPr>
              <m:type m:val="bar"/>
            </m:fPr>
            <m:num>
              <m:r>
                <m:t>I</m:t>
              </m:r>
              <m:r>
                <m:t>N</m:t>
              </m:r>
              <m:sSub>
                <m:e>
                  <m:r>
                    <m:t>V</m:t>
                  </m:r>
                </m:e>
                <m:sub>
                  <m:r>
                    <m:rPr>
                      <m:nor/>
                      <m:sty m:val="p"/>
                    </m:rPr>
                    <m:t>lineares</m:t>
                  </m:r>
                </m:sub>
              </m:sSub>
            </m:num>
            <m:den>
              <m:sSub>
                <m:e>
                  <m:r>
                    <m:t>C</m:t>
                  </m:r>
                </m:e>
                <m:sub>
                  <m:r>
                    <m:rPr>
                      <m:nor/>
                      <m:sty m:val="p"/>
                    </m:rPr>
                    <m:t>med,cart</m:t>
                  </m:r>
                </m:sub>
              </m:sSub>
            </m:den>
          </m:f>
          <m:r>
            <m:rPr>
              <m:sty m:val="p"/>
            </m:rPr>
            <m:t>×</m:t>
          </m:r>
          <m:r>
            <m:t>F</m:t>
          </m:r>
          <m:sSub>
            <m:e>
              <m:r>
                <m:t>I</m:t>
              </m:r>
            </m:e>
            <m:sub>
              <m:r>
                <m:rPr>
                  <m:nor/>
                  <m:sty m:val="p"/>
                </m:rPr>
                <m:t>cart</m:t>
              </m:r>
            </m:sub>
          </m:sSub>
          <m:r>
            <m:rPr>
              <m:sty m:val="p"/>
            </m:rPr>
            <m:t>×</m:t>
          </m:r>
          <m:r>
            <m:t>D</m:t>
          </m:r>
          <m:sSub>
            <m:e>
              <m:r>
                <m:t>M</m:t>
              </m:r>
            </m:e>
            <m:sub>
              <m:r>
                <m:rPr>
                  <m:nor/>
                  <m:sty m:val="p"/>
                </m:rPr>
                <m:t>ref</m:t>
              </m:r>
            </m:sub>
          </m:sSub>
          <m:r>
            <m:rPr>
              <m:sty m:val="p"/>
            </m:rPr>
            <m:t>×</m:t>
          </m:r>
          <m:r>
            <m:t>F</m:t>
          </m:r>
          <m:sSub>
            <m:e>
              <m:r>
                <m:t>T</m:t>
              </m:r>
            </m:e>
            <m:sub>
              <m:r>
                <m:rPr>
                  <m:nor/>
                  <m:sty m:val="p"/>
                </m:rPr>
                <m:t>cart</m:t>
              </m:r>
            </m:sub>
          </m:sSub>
          <m:r>
            <m:rPr>
              <m:sty m:val="p"/>
            </m:rPr>
            <m:t>×</m:t>
          </m:r>
          <m:r>
            <m:t>F</m:t>
          </m:r>
          <m:sSub>
            <m:e>
              <m:r>
                <m:t>C</m:t>
              </m:r>
            </m:e>
            <m:sub>
              <m:r>
                <m:rPr>
                  <m:nor/>
                  <m:sty m:val="p"/>
                </m:rPr>
                <m:t>default</m:t>
              </m:r>
            </m:sub>
          </m:sSub>
        </m:oMath>
      </m:oMathPara>
    </w:p>
    <w:p>
      <w:pPr>
        <w:pStyle w:val="FirstParagraph"/>
      </w:pPr>
      <w:r>
        <w:t xml:space="preserve">Onde:</w:t>
      </w:r>
    </w:p>
    <w:p>
      <w:pPr>
        <w:pStyle w:val="Compact"/>
        <w:numPr>
          <w:ilvl w:val="0"/>
          <w:numId w:val="1014"/>
        </w:numPr>
      </w:pPr>
      <m:oMath>
        <m:sSub>
          <m:e>
            <m:r>
              <m:t>C</m:t>
            </m:r>
          </m:e>
          <m:sub>
            <m:r>
              <m:rPr>
                <m:nor/>
                <m:sty m:val="p"/>
              </m:rPr>
              <m:t>med,cart</m:t>
            </m:r>
          </m:sub>
        </m:sSub>
      </m:oMath>
      <w:r>
        <w:t xml:space="preserve"> </w:t>
      </w:r>
      <w:r>
        <w:t xml:space="preserve">= custo médio ponderado por km, segundo a composição histórica da carteira de obras lineares (</w:t>
      </w:r>
      <w:r>
        <w:rPr>
          <w:b/>
          <w:bCs/>
        </w:rPr>
        <w:t xml:space="preserve">R$/km</w:t>
      </w:r>
      <w:r>
        <w:t xml:space="preserve">);</w:t>
      </w:r>
    </w:p>
    <w:p>
      <w:pPr>
        <w:pStyle w:val="Compact"/>
        <w:numPr>
          <w:ilvl w:val="0"/>
          <w:numId w:val="1014"/>
        </w:numPr>
      </w:pPr>
      <m:oMath>
        <m:r>
          <m:t>F</m:t>
        </m:r>
        <m:sSub>
          <m:e>
            <m:r>
              <m:t>I</m:t>
            </m:r>
          </m:e>
          <m:sub>
            <m:r>
              <m:rPr>
                <m:nor/>
                <m:sty m:val="p"/>
              </m:rPr>
              <m:t>cart</m:t>
            </m:r>
          </m:sub>
        </m:sSub>
      </m:oMath>
      <w:r>
        <w:t xml:space="preserve"> </w:t>
      </w:r>
      <w:r>
        <w:t xml:space="preserve">= faixa de influência média ponderada (</w:t>
      </w:r>
      <w:r>
        <w:rPr>
          <w:b/>
          <w:bCs/>
        </w:rPr>
        <w:t xml:space="preserve">km</w:t>
      </w:r>
      <w:r>
        <w:t xml:space="preserve">);</w:t>
      </w:r>
    </w:p>
    <w:p>
      <w:pPr>
        <w:pStyle w:val="Compact"/>
        <w:numPr>
          <w:ilvl w:val="0"/>
          <w:numId w:val="1014"/>
        </w:numPr>
      </w:pPr>
      <m:oMath>
        <m:r>
          <m:t>D</m:t>
        </m:r>
        <m:sSub>
          <m:e>
            <m:r>
              <m:t>M</m:t>
            </m:r>
          </m:e>
          <m:sub>
            <m:r>
              <m:rPr>
                <m:nor/>
                <m:sty m:val="p"/>
              </m:rPr>
              <m:t>ref</m:t>
            </m:r>
          </m:sub>
        </m:sSub>
      </m:oMath>
      <w:r>
        <w:t xml:space="preserve"> </w:t>
      </w:r>
      <w:r>
        <w:t xml:space="preserve">= 3.895 hab/km² — densidade demográfica de referência adotada na calculadora interativa (CGDI/SEMOB);</w:t>
      </w:r>
    </w:p>
    <w:p>
      <w:pPr>
        <w:pStyle w:val="Compact"/>
        <w:numPr>
          <w:ilvl w:val="0"/>
          <w:numId w:val="1014"/>
        </w:numPr>
      </w:pPr>
      <m:oMath>
        <m:r>
          <m:t>F</m:t>
        </m:r>
        <m:sSub>
          <m:e>
            <m:r>
              <m:t>T</m:t>
            </m:r>
          </m:e>
          <m:sub>
            <m:r>
              <m:rPr>
                <m:nor/>
                <m:sty m:val="p"/>
              </m:rPr>
              <m:t>cart</m:t>
            </m:r>
          </m:sub>
        </m:sSub>
      </m:oMath>
      <w:r>
        <w:t xml:space="preserve"> </w:t>
      </w:r>
      <w:r>
        <w:t xml:space="preserve">= fator de tipologia médio ponderado (</w:t>
      </w:r>
      <w:r>
        <w:rPr>
          <w:b/>
          <w:bCs/>
        </w:rPr>
        <w:t xml:space="preserve">adimensional</w:t>
      </w:r>
      <w:r>
        <w:t xml:space="preserve">); e</w:t>
      </w:r>
    </w:p>
    <w:p>
      <w:pPr>
        <w:pStyle w:val="Compact"/>
        <w:numPr>
          <w:ilvl w:val="0"/>
          <w:numId w:val="1014"/>
        </w:numPr>
      </w:pPr>
      <m:oMath>
        <m:r>
          <m:t>F</m:t>
        </m:r>
        <m:sSub>
          <m:e>
            <m:r>
              <m:t>C</m:t>
            </m:r>
          </m:e>
          <m:sub>
            <m:r>
              <m:rPr>
                <m:nor/>
                <m:sty m:val="p"/>
              </m:rPr>
              <m:t>default</m:t>
            </m:r>
          </m:sub>
        </m:sSub>
      </m:oMath>
      <w:r>
        <w:t xml:space="preserve"> </w:t>
      </w:r>
      <w:r>
        <w:t xml:space="preserve">= 1,00 — complexidade média, adotada por ausência de informação individualizada.</w:t>
      </w:r>
    </w:p>
    <w:p>
      <w:pPr>
        <w:pStyle w:val="FirstParagraph"/>
      </w:pPr>
      <w:r>
        <w:rPr>
          <w:b/>
          <w:bCs/>
        </w:rPr>
        <w:t xml:space="preserve">Aquisição de frota e material rodante:</w:t>
      </w:r>
    </w:p>
    <w:p>
      <w:pPr>
        <w:pStyle w:val="BodyText"/>
      </w:pPr>
      <m:oMathPara>
        <m:oMathParaPr>
          <m:jc m:val="center"/>
        </m:oMathParaPr>
        <m:oMath>
          <m:r>
            <m:t>P</m:t>
          </m:r>
          <m:sSub>
            <m:e>
              <m:r>
                <m:t>B</m:t>
              </m:r>
            </m:e>
            <m:sub>
              <m:r>
                <m:rPr>
                  <m:nor/>
                  <m:sty m:val="p"/>
                </m:rPr>
                <m:t>frota</m:t>
              </m:r>
            </m:sub>
          </m:sSub>
          <m:r>
            <m:rPr>
              <m:sty m:val="p"/>
            </m:rPr>
            <m:t>=</m:t>
          </m:r>
          <m:f>
            <m:fPr>
              <m:type m:val="bar"/>
            </m:fPr>
            <m:num>
              <m:r>
                <m:t>I</m:t>
              </m:r>
              <m:r>
                <m:t>N</m:t>
              </m:r>
              <m:sSub>
                <m:e>
                  <m:r>
                    <m:t>V</m:t>
                  </m:r>
                </m:e>
                <m:sub>
                  <m:r>
                    <m:rPr>
                      <m:nor/>
                      <m:sty m:val="p"/>
                    </m:rPr>
                    <m:t>frota</m:t>
                  </m:r>
                </m:sub>
              </m:sSub>
            </m:num>
            <m:den>
              <m:sSub>
                <m:e>
                  <m:r>
                    <m:t>C</m:t>
                  </m:r>
                </m:e>
                <m:sub>
                  <m:r>
                    <m:rPr>
                      <m:nor/>
                      <m:sty m:val="p"/>
                    </m:rPr>
                    <m:t>unit,cart</m:t>
                  </m:r>
                </m:sub>
              </m:sSub>
            </m:den>
          </m:f>
          <m:r>
            <m:rPr>
              <m:sty m:val="p"/>
            </m:rPr>
            <m:t>×</m:t>
          </m:r>
          <m:sSub>
            <m:e>
              <m:r>
                <m:t>B</m:t>
              </m:r>
            </m:e>
            <m:sub>
              <m:r>
                <m:rPr>
                  <m:nor/>
                  <m:sty m:val="p"/>
                </m:rPr>
                <m:t>unit,cart</m:t>
              </m:r>
            </m:sub>
          </m:sSub>
        </m:oMath>
      </m:oMathPara>
    </w:p>
    <w:p>
      <w:pPr>
        <w:pStyle w:val="FirstParagraph"/>
      </w:pPr>
      <w:r>
        <w:t xml:space="preserve">Onde:</w:t>
      </w:r>
    </w:p>
    <w:p>
      <w:pPr>
        <w:pStyle w:val="Compact"/>
        <w:numPr>
          <w:ilvl w:val="0"/>
          <w:numId w:val="1015"/>
        </w:numPr>
      </w:pPr>
      <m:oMath>
        <m:sSub>
          <m:e>
            <m:r>
              <m:t>C</m:t>
            </m:r>
          </m:e>
          <m:sub>
            <m:r>
              <m:rPr>
                <m:nor/>
                <m:sty m:val="p"/>
              </m:rPr>
              <m:t>unit,cart</m:t>
            </m:r>
          </m:sub>
        </m:sSub>
      </m:oMath>
      <w:r>
        <w:t xml:space="preserve"> </w:t>
      </w:r>
      <w:r>
        <w:t xml:space="preserve">= custo unitário médio ponderado do veículo ou composição, segundo a composição histórica das aquisições (</w:t>
      </w:r>
      <w:r>
        <w:rPr>
          <w:b/>
          <w:bCs/>
        </w:rPr>
        <w:t xml:space="preserve">R$/unidade</w:t>
      </w:r>
      <w:r>
        <w:t xml:space="preserve">); e</w:t>
      </w:r>
    </w:p>
    <w:p>
      <w:pPr>
        <w:pStyle w:val="Compact"/>
        <w:numPr>
          <w:ilvl w:val="0"/>
          <w:numId w:val="1015"/>
        </w:numPr>
      </w:pPr>
      <m:oMath>
        <m:sSub>
          <m:e>
            <m:r>
              <m:t>B</m:t>
            </m:r>
          </m:e>
          <m:sub>
            <m:r>
              <m:rPr>
                <m:nor/>
                <m:sty m:val="p"/>
              </m:rPr>
              <m:t>unit,cart</m:t>
            </m:r>
          </m:sub>
        </m:sSub>
      </m:oMath>
      <w:r>
        <w:t xml:space="preserve"> </w:t>
      </w:r>
      <w:r>
        <w:t xml:space="preserve">= beneficiários médios ponderados por unidade adquirida (</w:t>
      </w:r>
      <w:r>
        <w:rPr>
          <w:b/>
          <w:bCs/>
        </w:rPr>
        <w:t xml:space="preserve">pessoas/unidade</w:t>
      </w:r>
      <w:r>
        <w:t xml:space="preserve">).</w:t>
      </w:r>
    </w:p>
    <w:bookmarkEnd w:id="55"/>
    <w:bookmarkStart w:id="58" w:name="cálculo-dos-parâmetros-ponderados"/>
    <w:p>
      <w:pPr>
        <w:pStyle w:val="Heading4"/>
      </w:pPr>
      <w:r>
        <w:t xml:space="preserve">18.3 Cálculo dos parâmetros ponderados</w:t>
      </w:r>
    </w:p>
    <w:p>
      <w:pPr>
        <w:pStyle w:val="FirstParagraph"/>
      </w:pPr>
      <w:r>
        <w:t xml:space="preserve">Os parâmetros ponderados são obtidos a partir da participação percentual de cada tipologia no valor total contratado historicamente dentro de cada componente. Para obras lineares:</w:t>
      </w:r>
    </w:p>
    <w:p>
      <w:pPr>
        <w:pStyle w:val="BodyText"/>
      </w:pPr>
      <m:oMathPara>
        <m:oMathParaPr>
          <m:jc m:val="center"/>
        </m:oMathParaPr>
        <m:oMath>
          <m:sSub>
            <m:e>
              <m:r>
                <m:t>C</m:t>
              </m:r>
            </m:e>
            <m:sub>
              <m:r>
                <m:rPr>
                  <m:nor/>
                  <m:sty m:val="p"/>
                </m:rPr>
                <m:t>med,cart</m:t>
              </m:r>
            </m:sub>
          </m:sSub>
          <m:r>
            <m:rPr>
              <m:sty m:val="p"/>
            </m:rPr>
            <m:t>=</m:t>
          </m:r>
          <m:nary>
            <m:naryPr>
              <m:chr m:val="∑"/>
              <m:limLoc m:val="undOvr"/>
              <m:subHide m:val="off"/>
              <m:supHide m:val="on"/>
            </m:naryPr>
            <m:sub>
              <m:r>
                <m:t>i</m:t>
              </m:r>
            </m:sub>
            <m:sup>
              <m:r>
                <m:t>​</m:t>
              </m:r>
            </m:sup>
            <m:e>
              <m:sSub>
                <m:e>
                  <m:r>
                    <m:t>w</m:t>
                  </m:r>
                </m:e>
                <m:sub>
                  <m:r>
                    <m:t>i</m:t>
                  </m:r>
                </m:sub>
              </m:sSub>
            </m:e>
          </m:nary>
          <m:r>
            <m:rPr>
              <m:sty m:val="p"/>
            </m:rPr>
            <m:t>⋅</m:t>
          </m:r>
          <m:sSub>
            <m:e>
              <m:r>
                <m:t>C</m:t>
              </m:r>
            </m:e>
            <m:sub>
              <m:r>
                <m:rPr>
                  <m:nor/>
                  <m:sty m:val="p"/>
                </m:rPr>
                <m:t>med</m:t>
              </m:r>
              <m:r>
                <m:rPr>
                  <m:sty m:val="p"/>
                </m:rPr>
                <m:t>,</m:t>
              </m:r>
              <m:r>
                <m:t>i</m:t>
              </m:r>
            </m:sub>
          </m:sSub>
          <m:r>
            <m:t>  </m:t>
          </m:r>
          <m:r>
            <m:t>F</m:t>
          </m:r>
          <m:sSub>
            <m:e>
              <m:r>
                <m:t>I</m:t>
              </m:r>
            </m:e>
            <m:sub>
              <m:r>
                <m:rPr>
                  <m:nor/>
                  <m:sty m:val="p"/>
                </m:rPr>
                <m:t>cart</m:t>
              </m:r>
            </m:sub>
          </m:sSub>
          <m:r>
            <m:rPr>
              <m:sty m:val="p"/>
            </m:rPr>
            <m:t>=</m:t>
          </m:r>
          <m:nary>
            <m:naryPr>
              <m:chr m:val="∑"/>
              <m:limLoc m:val="undOvr"/>
              <m:subHide m:val="off"/>
              <m:supHide m:val="on"/>
            </m:naryPr>
            <m:sub>
              <m:r>
                <m:t>i</m:t>
              </m:r>
            </m:sub>
            <m:sup>
              <m:r>
                <m:t>​</m:t>
              </m:r>
            </m:sup>
            <m:e>
              <m:sSub>
                <m:e>
                  <m:r>
                    <m:t>w</m:t>
                  </m:r>
                </m:e>
                <m:sub>
                  <m:r>
                    <m:t>i</m:t>
                  </m:r>
                </m:sub>
              </m:sSub>
            </m:e>
          </m:nary>
          <m:r>
            <m:rPr>
              <m:sty m:val="p"/>
            </m:rPr>
            <m:t>⋅</m:t>
          </m:r>
          <m:r>
            <m:t>F</m:t>
          </m:r>
          <m:sSub>
            <m:e>
              <m:r>
                <m:t>I</m:t>
              </m:r>
            </m:e>
            <m:sub>
              <m:r>
                <m:t>i</m:t>
              </m:r>
            </m:sub>
          </m:sSub>
          <m:r>
            <m:t>  </m:t>
          </m:r>
          <m:r>
            <m:t>F</m:t>
          </m:r>
          <m:sSub>
            <m:e>
              <m:r>
                <m:t>T</m:t>
              </m:r>
            </m:e>
            <m:sub>
              <m:r>
                <m:rPr>
                  <m:nor/>
                  <m:sty m:val="p"/>
                </m:rPr>
                <m:t>cart</m:t>
              </m:r>
            </m:sub>
          </m:sSub>
          <m:r>
            <m:rPr>
              <m:sty m:val="p"/>
            </m:rPr>
            <m:t>=</m:t>
          </m:r>
          <m:nary>
            <m:naryPr>
              <m:chr m:val="∑"/>
              <m:limLoc m:val="undOvr"/>
              <m:subHide m:val="off"/>
              <m:supHide m:val="on"/>
            </m:naryPr>
            <m:sub>
              <m:r>
                <m:t>i</m:t>
              </m:r>
            </m:sub>
            <m:sup>
              <m:r>
                <m:t>​</m:t>
              </m:r>
            </m:sup>
            <m:e>
              <m:sSub>
                <m:e>
                  <m:r>
                    <m:t>w</m:t>
                  </m:r>
                </m:e>
                <m:sub>
                  <m:r>
                    <m:t>i</m:t>
                  </m:r>
                </m:sub>
              </m:sSub>
            </m:e>
          </m:nary>
          <m:r>
            <m:rPr>
              <m:sty m:val="p"/>
            </m:rPr>
            <m:t>⋅</m:t>
          </m:r>
          <m:r>
            <m:t>F</m:t>
          </m:r>
          <m:sSub>
            <m:e>
              <m:r>
                <m:t>T</m:t>
              </m:r>
            </m:e>
            <m:sub>
              <m:r>
                <m:t>i</m:t>
              </m:r>
            </m:sub>
          </m:sSub>
        </m:oMath>
      </m:oMathPara>
    </w:p>
    <w:p>
      <w:pPr>
        <w:pStyle w:val="FirstParagraph"/>
      </w:pPr>
      <w:r>
        <w:t xml:space="preserve">Onde</w:t>
      </w:r>
      <w:r>
        <w:t xml:space="preserve"> </w:t>
      </w:r>
      <m:oMath>
        <m:sSub>
          <m:e>
            <m:r>
              <m:t>w</m:t>
            </m:r>
          </m:e>
          <m:sub>
            <m:r>
              <m:t>i</m:t>
            </m:r>
          </m:sub>
        </m:sSub>
      </m:oMath>
      <w:r>
        <w:t xml:space="preserve"> </w:t>
      </w:r>
      <w:r>
        <w:t xml:space="preserve">é a participação percentual do valor contratado da tipologia</w:t>
      </w:r>
      <w:r>
        <w:t xml:space="preserve"> </w:t>
      </w:r>
      <m:oMath>
        <m:r>
          <m:t>i</m:t>
        </m:r>
      </m:oMath>
      <w:r>
        <w:t xml:space="preserve"> </w:t>
      </w:r>
      <w:r>
        <w:t xml:space="preserve">no total de obras lineares contratadas, de modo que</w:t>
      </w:r>
      <w:r>
        <w:t xml:space="preserve"> </w:t>
      </w:r>
      <m:oMath>
        <m:nary>
          <m:naryPr>
            <m:chr m:val="∑"/>
            <m:limLoc m:val="undOvr"/>
            <m:subHide m:val="off"/>
            <m:supHide m:val="on"/>
          </m:naryPr>
          <m:sub>
            <m:r>
              <m:t>i</m:t>
            </m:r>
          </m:sub>
          <m:sup>
            <m:r>
              <m:t>​</m:t>
            </m:r>
          </m:sup>
          <m:e>
            <m:sSub>
              <m:e>
                <m:r>
                  <m:t>w</m:t>
                </m:r>
              </m:e>
              <m:sub>
                <m:r>
                  <m:t>i</m:t>
                </m:r>
              </m:sub>
            </m:sSub>
          </m:e>
        </m:nary>
        <m:r>
          <m:rPr>
            <m:sty m:val="p"/>
          </m:rPr>
          <m:t>=</m:t>
        </m:r>
        <m:r>
          <m:t>1</m:t>
        </m:r>
      </m:oMath>
      <w:r>
        <w:t xml:space="preserve">.</w:t>
      </w:r>
    </w:p>
    <w:p>
      <w:pPr>
        <w:pStyle w:val="BodyText"/>
      </w:pPr>
      <w:r>
        <w:t xml:space="preserve">Analogamente, para a frota,</w:t>
      </w:r>
      <w:r>
        <w:t xml:space="preserve"> </w:t>
      </w:r>
      <m:oMath>
        <m:sSub>
          <m:e>
            <m:r>
              <m:t>C</m:t>
            </m:r>
          </m:e>
          <m:sub>
            <m:r>
              <m:rPr>
                <m:nor/>
                <m:sty m:val="p"/>
              </m:rPr>
              <m:t>unit,cart</m:t>
            </m:r>
          </m:sub>
        </m:sSub>
      </m:oMath>
      <w:r>
        <w:t xml:space="preserve"> </w:t>
      </w:r>
      <w:r>
        <w:t xml:space="preserve">e</w:t>
      </w:r>
      <w:r>
        <w:t xml:space="preserve"> </w:t>
      </w:r>
      <m:oMath>
        <m:sSub>
          <m:e>
            <m:r>
              <m:t>B</m:t>
            </m:r>
          </m:e>
          <m:sub>
            <m:r>
              <m:rPr>
                <m:nor/>
                <m:sty m:val="p"/>
              </m:rPr>
              <m:t>unit,cart</m:t>
            </m:r>
          </m:sub>
        </m:sSub>
      </m:oMath>
      <w:r>
        <w:t xml:space="preserve"> </w:t>
      </w:r>
      <w:r>
        <w:t xml:space="preserve">são ponderados pela participação de cada modalidade de veículo no valor total das aquisições históricas.</w:t>
      </w:r>
    </w:p>
    <w:tbl>
      <w:tblPr>
        <w:tblStyle w:val="Table"/>
        <w:tblInd w:w="164" w:type="dxa"/>
        <w:tblBorders>
          <w:left w:val="single" w:sz="24" w:space="0" w:color="EB9113"/>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BodyText"/>
            </w:pPr>
            <w:pPr>
              <w:spacing w:before="0" w:after="8"/>
              <w:jc w:val="center"/>
            </w:pPr>
            <w:r>
              <w:drawing>
                <wp:inline>
                  <wp:extent cx="152400" cy="152400"/>
                  <wp:effectExtent b="0" l="0" r="0" t="0"/>
                  <wp:docPr descr="" title="" id="56" name="Picture"/>
                  <a:graphic>
                    <a:graphicData uri="http://schemas.openxmlformats.org/drawingml/2006/picture">
                      <pic:pic>
                        <pic:nvPicPr>
                          <pic:cNvPr descr="/opt/quarto/share/formats/docx/warning.png" id="57" name="Picture"/>
                          <pic:cNvPicPr>
                            <a:picLocks noChangeArrowheads="1" noChangeAspect="1"/>
                          </pic:cNvPicPr>
                        </pic:nvPicPr>
                        <pic:blipFill>
                          <a:blip r:embed="rId4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r>
              <w:rPr>
                <w:b/>
                <w:bCs/>
              </w:rPr>
              <w:t xml:space="preserve">Atualização anual dos parâmetros</w:t>
            </w:r>
          </w:p>
          <w:p>
            <w:pPr>
              <w:pStyle w:val="BodyText"/>
            </w:pPr>
            <w:pPr>
              <w:spacing w:before="16" w:after="16"/>
            </w:pPr>
            <w:r>
              <w:t xml:space="preserve">Os coeficientes de divisão do orçamento (</w:t>
            </w:r>
            <m:oMath>
              <m:r>
                <m:t>α</m:t>
              </m:r>
            </m:oMath>
            <w:r>
              <w:t xml:space="preserve"> </w:t>
            </w:r>
            <w:r>
              <w:t xml:space="preserve">e</w:t>
            </w:r>
            <w:r>
              <w:t xml:space="preserve"> </w:t>
            </w:r>
            <m:oMath>
              <m:r>
                <m:t>β</m:t>
              </m:r>
            </m:oMath>
            <w:r>
              <w:t xml:space="preserve">) e os parâmetros ponderados deverão ser recalculados anualmente pela CGDI com base nos últimos cinco anos de execução da carteira, de modo a refletir eventuais mudanças no perfil dos investimentos contratados ao longo do tempo.</w:t>
            </w:r>
          </w:p>
        </w:tc>
      </w:tr>
    </w:tbl>
    <w:bookmarkEnd w:id="58"/>
    <w:bookmarkStart w:id="59" w:name="cálculo-pela-fórmula-atual"/>
    <w:p>
      <w:pPr>
        <w:pStyle w:val="Heading4"/>
      </w:pPr>
      <w:r>
        <w:t xml:space="preserve">18.4 Cálculo pela fórmula atual</w:t>
      </w:r>
    </w:p>
    <w:p>
      <w:pPr>
        <w:pStyle w:val="FirstParagraph"/>
      </w:pPr>
      <w:r>
        <w:t xml:space="preserve">Aplicando a fórmula atualmente utilizada ao orçamento previsto de R$ 6,4 bilhões:</w:t>
      </w:r>
    </w:p>
    <w:p>
      <w:pPr>
        <w:pStyle w:val="BodyText"/>
      </w:pPr>
      <m:oMathPara>
        <m:oMathParaPr>
          <m:jc m:val="center"/>
        </m:oMathParaPr>
        <m:oMath>
          <m:r>
            <m:t>P</m:t>
          </m:r>
          <m:r>
            <m:t>B</m:t>
          </m:r>
          <m:r>
            <m:rPr>
              <m:sty m:val="p"/>
            </m:rPr>
            <m:t>=</m:t>
          </m:r>
          <m:d>
            <m:dPr>
              <m:begChr m:val="("/>
              <m:sepChr m:val=""/>
              <m:endChr m:val=")"/>
              <m:grow/>
            </m:dPr>
            <m:e>
              <m:f>
                <m:fPr>
                  <m:type m:val="bar"/>
                </m:fPr>
                <m:num>
                  <m:r>
                    <m:t>6</m:t>
                  </m:r>
                  <m:r>
                    <m:rPr>
                      <m:sty m:val="p"/>
                    </m:rPr>
                    <m:t>.</m:t>
                  </m:r>
                  <m:r>
                    <m:t>400</m:t>
                  </m:r>
                  <m:r>
                    <m:rPr>
                      <m:sty m:val="p"/>
                    </m:rPr>
                    <m:t>.</m:t>
                  </m:r>
                  <m:r>
                    <m:t>000</m:t>
                  </m:r>
                  <m:r>
                    <m:rPr>
                      <m:sty m:val="p"/>
                    </m:rPr>
                    <m:t>.</m:t>
                  </m:r>
                  <m:r>
                    <m:t>000</m:t>
                  </m:r>
                </m:num>
                <m:den>
                  <m:r>
                    <m:t>2</m:t>
                  </m:r>
                  <m:r>
                    <m:rPr>
                      <m:sty m:val="p"/>
                    </m:rPr>
                    <m:t>.</m:t>
                  </m:r>
                  <m:r>
                    <m:t>500</m:t>
                  </m:r>
                </m:den>
              </m:f>
            </m:e>
          </m:d>
          <m:r>
            <m:rPr>
              <m:sty m:val="p"/>
            </m:rPr>
            <m:t>×</m:t>
          </m:r>
          <m:r>
            <m:t>2</m:t>
          </m:r>
          <m:r>
            <m:rPr>
              <m:sty m:val="p"/>
            </m:rPr>
            <m:t>,</m:t>
          </m:r>
          <m:r>
            <m:t>96</m:t>
          </m:r>
          <m:r>
            <m:rPr>
              <m:sty m:val="p"/>
            </m:rPr>
            <m:t>=</m:t>
          </m:r>
          <m:r>
            <m:t>2</m:t>
          </m:r>
          <m:r>
            <m:rPr>
              <m:sty m:val="p"/>
            </m:rPr>
            <m:t>.</m:t>
          </m:r>
          <m:r>
            <m:t>560</m:t>
          </m:r>
          <m:r>
            <m:rPr>
              <m:sty m:val="p"/>
            </m:rPr>
            <m:t>.</m:t>
          </m:r>
          <m:r>
            <m:t>000</m:t>
          </m:r>
          <m:r>
            <m:rPr>
              <m:sty m:val="p"/>
            </m:rPr>
            <m:t>×</m:t>
          </m:r>
          <m:r>
            <m:t>2</m:t>
          </m:r>
          <m:r>
            <m:rPr>
              <m:sty m:val="p"/>
            </m:rPr>
            <m:t>,</m:t>
          </m:r>
          <m:r>
            <m:t>96</m:t>
          </m:r>
          <m:r>
            <m:rPr>
              <m:sty m:val="p"/>
            </m:rPr>
            <m:t>=</m:t>
          </m:r>
          <m:r>
            <m:rPr>
              <m:sty m:val="b"/>
            </m:rPr>
            <m:t>7</m:t>
          </m:r>
          <m:r>
            <m:rPr>
              <m:sty m:val="b"/>
            </m:rPr>
            <m:t>.</m:t>
          </m:r>
          <m:r>
            <m:rPr>
              <m:sty m:val="b"/>
            </m:rPr>
            <m:t>577</m:t>
          </m:r>
          <m:r>
            <m:rPr>
              <m:sty m:val="b"/>
            </m:rPr>
            <m:t>.</m:t>
          </m:r>
          <m:r>
            <m:rPr>
              <m:sty m:val="b"/>
            </m:rPr>
            <m:t>600</m:t>
          </m:r>
        </m:oMath>
      </m:oMathPara>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Fórmula atual aplicada ao orçamento de R$ 6,4 bilhões</w:t>
      </w:r>
    </w:p>
    <w:p>
      <w:pPr>
        <w:spacing w:before="0" w:after="60"/>
        <w:keepNext/>
        <w:jc w:val="start"/>
        <w:pStyle w:val="caption"/>
      </w:pPr>
      <w:r>
        <w:rPr>
          <w:rFonts w:ascii="Calibri" w:hAnsi="Calibri"/>
          <w:sz w:val="20"/>
          <w:color w:val="333333"/>
        </w:rPr>
        <w:t xml:space="preserve">PB = (Valor do investimento / 2.500) × 2,96</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Componente</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Valor</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Orçamento previsto (R$)</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6.400.000.000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Divisor</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2.500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Fator multiplicador</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2,96</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b w:val="true"/>
              </w:rPr>
              <w:t xml:space="default">PB estimado (pessoas)</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b w:val="true"/>
              </w:rPr>
              <w:t xml:space="default">7.577.600</w:t>
            </w:r>
          </w:p>
        </w:tc>
      </w:tr>
    </w:tbl>
    <w:p>
      <w:pPr>
        <w:pStyle w:val="FirstParagraph"/>
      </w:pPr>
      <w:r>
        <w:t xml:space="preserve">A fórmula atual não distingue componentes, tipologias, extensão física ou densidade urbana — produz um único resultado independente da composição do orçamento.</w:t>
      </w:r>
    </w:p>
    <w:bookmarkEnd w:id="59"/>
    <w:bookmarkStart w:id="62" w:name="Xd6b4adf7c31ebd0880fe92832a37842b53acd7f"/>
    <w:p>
      <w:pPr>
        <w:pStyle w:val="Heading4"/>
      </w:pPr>
      <w:r>
        <w:t xml:space="preserve">18.5 Estimativa pela nova metodologia e comparativo</w:t>
      </w:r>
    </w:p>
    <w:tbl>
      <w:tblPr>
        <w:tblStyle w:val="Table"/>
        <w:tblInd w:w="164" w:type="dxa"/>
        <w:tblBorders>
          <w:left w:val="single" w:sz="24" w:space="0" w:color="0758E5"/>
        </w:tblBorders>
        <w:tblCellMar>
          <w:left w:w="0" w:type="dxa"/>
          <w:right w:w="0" w:type="dxa"/>
        </w:tblCellMar>
        <w:tblLook w:firstRow="0" w:lastRow="0" w:firstColumn="0" w:lastColumn="0" w:noHBand="0" w:noVBand="0" w:val="0000"/>
      </w:tblPr>
      <w:tblGrid>
        <w:gridCol w:w="7920"/>
      </w:tblGrid>
      <w:tr>
        <w:trPr>
          <w:cantSplit/>
        </w:trPr>
        <w:tc>
          <w:tcPr>
            <w:tcMar>
              <w:left w:w="144" w:type="dxa"/>
              <w:right w:w="144" w:type="dxa"/>
            </w:tcMar>
          </w:tcPr>
          <w:p>
            <w:pPr>
              <w:pStyle w:val="FirstParagraph"/>
            </w:pPr>
            <w:pPr>
              <w:spacing w:before="0" w:after="8"/>
              <w:jc w:val="center"/>
            </w:pPr>
            <w:r>
              <w:drawing>
                <wp:inline>
                  <wp:extent cx="152400" cy="152400"/>
                  <wp:effectExtent b="0" l="0" r="0" t="0"/>
                  <wp:docPr descr="" title="" id="60" name="Picture"/>
                  <a:graphic>
                    <a:graphicData uri="http://schemas.openxmlformats.org/drawingml/2006/picture">
                      <pic:pic>
                        <pic:nvPicPr>
                          <pic:cNvPr descr="/opt/quarto/share/formats/docx/note.png" id="61" name="Picture"/>
                          <pic:cNvPicPr>
                            <a:picLocks noChangeArrowheads="1" noChangeAspect="1"/>
                          </pic:cNvPicPr>
                        </pic:nvPicPr>
                        <pic:blipFill>
                          <a:blip r:embed="rId26"/>
                          <a:stretch>
                            <a:fillRect/>
                          </a:stretch>
                        </pic:blipFill>
                        <pic:spPr bwMode="auto">
                          <a:xfrm>
                            <a:off x="0" y="0"/>
                            <a:ext cx="152400" cy="152400"/>
                          </a:xfrm>
                          <a:prstGeom prst="rect">
                            <a:avLst/>
                          </a:prstGeom>
                          <a:noFill/>
                          <a:ln w="9525">
                            <a:noFill/>
                            <a:headEnd/>
                            <a:tailEnd/>
                          </a:ln>
                        </pic:spPr>
                      </pic:pic>
                    </a:graphicData>
                  </a:graphic>
                </wp:inline>
              </w:drawing>
            </w:r>
          </w:p>
        </w:tc>
        <w:tc>
          <w:p>
            <w:pPr>
              <w:pStyle w:val="BodyText"/>
            </w:pPr>
            <w:pPr>
              <w:spacing w:before="16" w:after="64"/>
            </w:pPr>
          </w:p>
          <w:p>
            <w:pPr>
              <w:pStyle w:val="BodyText"/>
            </w:pPr>
            <w:pPr>
              <w:spacing w:before="16" w:after="16"/>
            </w:pPr>
            <w:r>
              <w:t xml:space="preserve">Os valores de participação histórica por tipologia (</w:t>
            </w:r>
            <m:oMath>
              <m:sSub>
                <m:e>
                  <m:r>
                    <m:t>w</m:t>
                  </m:r>
                </m:e>
                <m:sub>
                  <m:r>
                    <m:t>i</m:t>
                  </m:r>
                </m:sub>
              </m:sSub>
            </m:oMath>
            <w:r>
              <w:t xml:space="preserve"> </w:t>
            </w:r>
            <w:r>
              <w:t xml:space="preserve">e</w:t>
            </w:r>
            <w:r>
              <w:t xml:space="preserve"> </w:t>
            </w:r>
            <m:oMath>
              <m:sSub>
                <m:e>
                  <m:r>
                    <m:t>w</m:t>
                  </m:r>
                </m:e>
                <m:sub>
                  <m:r>
                    <m:t>j</m:t>
                  </m:r>
                </m:sub>
              </m:sSub>
            </m:oMath>
            <w:r>
              <w:t xml:space="preserve">) utilizados neste exemplo são</w:t>
            </w:r>
            <w:r>
              <w:t xml:space="preserve"> </w:t>
            </w:r>
            <w:r>
              <w:rPr>
                <w:b/>
                <w:bCs/>
              </w:rPr>
              <w:t xml:space="preserve">hipotéticos</w:t>
            </w:r>
            <w:r>
              <w:t xml:space="preserve">, adotados exclusivamente para fins de ilustração da metodologia. Já os parâmetros de frota (</w:t>
            </w:r>
            <m:oMath>
              <m:sSub>
                <m:e>
                  <m:r>
                    <m:t>C</m:t>
                  </m:r>
                </m:e>
                <m:sub>
                  <m:r>
                    <m:t>u</m:t>
                  </m:r>
                  <m:r>
                    <m:t>n</m:t>
                  </m:r>
                  <m:r>
                    <m:t>i</m:t>
                  </m:r>
                  <m:r>
                    <m:t>t</m:t>
                  </m:r>
                </m:sub>
              </m:sSub>
            </m:oMath>
            <w:r>
              <w:t xml:space="preserve"> </w:t>
            </w:r>
            <w:r>
              <w:t xml:space="preserve">e</w:t>
            </w:r>
            <w:r>
              <w:t xml:space="preserve"> </w:t>
            </w:r>
            <m:oMath>
              <m:sSub>
                <m:e>
                  <m:r>
                    <m:t>B</m:t>
                  </m:r>
                </m:e>
                <m:sub>
                  <m:r>
                    <m:t>u</m:t>
                  </m:r>
                  <m:r>
                    <m:t>n</m:t>
                  </m:r>
                  <m:r>
                    <m:t>i</m:t>
                  </m:r>
                  <m:r>
                    <m:t>t</m:t>
                  </m:r>
                </m:sub>
              </m:sSub>
            </m:oMath>
            <w:r>
              <w:t xml:space="preserve">) seguem os valores de referência definidos na seção 11. Em aplicação real, os pesos deverão ser derivados do histórico dos últimos cinco anos da carteira FGTS/MCID.</w:t>
            </w:r>
          </w:p>
        </w:tc>
      </w:tr>
    </w:tbl>
    <w:p>
      <w:pPr>
        <w:pStyle w:val="BodyText"/>
      </w:pPr>
      <w:r>
        <w:t xml:space="preserve">Considere-se o mesmo orçamento de</w:t>
      </w:r>
      <w:r>
        <w:t xml:space="preserve"> </w:t>
      </w:r>
      <w:r>
        <w:rPr>
          <w:b/>
          <w:bCs/>
        </w:rPr>
        <w:t xml:space="preserve">R$ 6,4 bilhões</w:t>
      </w:r>
      <w:r>
        <w:t xml:space="preserve">, alocado da seguinte forma com base no histórico de execução:</w:t>
      </w:r>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Divisão do orçamento por componente</w:t>
      </w:r>
    </w:p>
    <w:p>
      <w:pPr>
        <w:spacing w:before="0" w:after="60"/>
        <w:keepNext/>
        <w:jc w:val="start"/>
        <w:pStyle w:val="caption"/>
      </w:pPr>
      <w:r>
        <w:rPr>
          <w:rFonts w:ascii="Calibri" w:hAnsi="Calibri"/>
          <w:sz w:val="20"/>
          <w:color w:val="333333"/>
        </w:rPr>
        <w:t xml:space="default">Exemplo hipotético — orçamento previsto de R$ 6,4 bilhões</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Componente</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Valor (R$ bi)</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Participação (%)</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Obras lineares</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3,9</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60,9</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Aquisição de frota</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39,1</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b w:val="true"/>
              </w:rPr>
              <w:t xml:space="default">Total</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b w:val="true"/>
              </w:rPr>
              <w:t xml:space="default">6,4</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b w:val="true"/>
              </w:rPr>
              <w:t xml:space="default">100,0</w:t>
            </w:r>
          </w:p>
        </w:tc>
      </w:tr>
    </w:tbl>
    <w:p>
      <w:pPr>
        <w:pStyle w:val="BodyText"/>
      </w:pPr>
      <w:r>
        <w:rPr>
          <w:b/>
          <w:bCs/>
        </w:rPr>
        <w:t xml:space="preserve">Obras lineares — R$ 3,9 bilhões</w:t>
      </w:r>
    </w:p>
    <w:p>
      <w:pPr>
        <w:pStyle w:val="BodyText"/>
      </w:pPr>
      <w:r>
        <w:t xml:space="preserve">A parcela de obras lineares é decomposta por tipologia conforme os pesos históricos</w:t>
      </w:r>
      <w:r>
        <w:t xml:space="preserve"> </w:t>
      </w:r>
      <m:oMath>
        <m:sSub>
          <m:e>
            <m:r>
              <m:t>w</m:t>
            </m:r>
          </m:e>
          <m:sub>
            <m:r>
              <m:t>i</m:t>
            </m:r>
          </m:sub>
        </m:sSub>
      </m:oMath>
      <w:r>
        <w:t xml:space="preserve">. Para cada tipologia, aplica-se a fórmula individualmente, o que evita a distorção que ocorreria ao calcular um</w:t>
      </w:r>
      <w:r>
        <w:t xml:space="preserve"> </w:t>
      </w:r>
      <m:oMath>
        <m:sSub>
          <m:e>
            <m:r>
              <m:t>C</m:t>
            </m:r>
          </m:e>
          <m:sub>
            <m:r>
              <m:rPr>
                <m:nor/>
                <m:sty m:val="p"/>
              </m:rPr>
              <m:t>med</m:t>
            </m:r>
          </m:sub>
        </m:sSub>
      </m:oMath>
      <w:r>
        <w:t xml:space="preserve"> </w:t>
      </w:r>
      <w:r>
        <w:t xml:space="preserve">médio único entre tipologias de custos muito distintos (metrô vs. calçada).</w:t>
      </w:r>
    </w:p>
    <w:p>
      <w:pPr>
        <w:pStyle w:val="BodyText"/>
      </w:pPr>
      <m:oMathPara>
        <m:oMathParaPr>
          <m:jc m:val="center"/>
        </m:oMathParaPr>
        <m:oMath>
          <m:r>
            <m:t>P</m:t>
          </m:r>
          <m:sSub>
            <m:e>
              <m:r>
                <m:t>B</m:t>
              </m:r>
            </m:e>
            <m:sub>
              <m:r>
                <m:rPr>
                  <m:nor/>
                  <m:sty m:val="p"/>
                </m:rPr>
                <m:t>lin</m:t>
              </m:r>
              <m:r>
                <m:rPr>
                  <m:sty m:val="p"/>
                </m:rPr>
                <m:t>,</m:t>
              </m:r>
              <m:r>
                <m:t>i</m:t>
              </m:r>
            </m:sub>
          </m:sSub>
          <m:r>
            <m:rPr>
              <m:sty m:val="p"/>
            </m:rPr>
            <m:t>=</m:t>
          </m:r>
          <m:limLow>
            <m:e>
              <m:limLow>
                <m:e>
                  <m:f>
                    <m:fPr>
                      <m:type m:val="bar"/>
                    </m:fPr>
                    <m:num>
                      <m:sSub>
                        <m:e>
                          <m:r>
                            <m:t>w</m:t>
                          </m:r>
                        </m:e>
                        <m:sub>
                          <m:r>
                            <m:t>i</m:t>
                          </m:r>
                        </m:sub>
                      </m:sSub>
                      <m:r>
                        <m:rPr>
                          <m:sty m:val="p"/>
                        </m:rPr>
                        <m:t>×</m:t>
                      </m:r>
                      <m:r>
                        <m:t>I</m:t>
                      </m:r>
                      <m:r>
                        <m:t>N</m:t>
                      </m:r>
                      <m:sSub>
                        <m:e>
                          <m:r>
                            <m:t>V</m:t>
                          </m:r>
                        </m:e>
                        <m:sub>
                          <m:r>
                            <m:rPr>
                              <m:nor/>
                              <m:sty m:val="p"/>
                            </m:rPr>
                            <m:t>lineares</m:t>
                          </m:r>
                        </m:sub>
                      </m:sSub>
                    </m:num>
                    <m:den>
                      <m:sSub>
                        <m:e>
                          <m:r>
                            <m:t>C</m:t>
                          </m:r>
                        </m:e>
                        <m:sub>
                          <m:r>
                            <m:rPr>
                              <m:nor/>
                              <m:sty m:val="p"/>
                            </m:rPr>
                            <m:t>med</m:t>
                          </m:r>
                          <m:r>
                            <m:rPr>
                              <m:sty m:val="p"/>
                            </m:rPr>
                            <m:t>,</m:t>
                          </m:r>
                          <m:r>
                            <m:t>i</m:t>
                          </m:r>
                        </m:sub>
                      </m:sSub>
                    </m:den>
                  </m:f>
                </m:e>
                <m:lim>
                  <m:r>
                    <m:rPr>
                      <m:sty m:val="p"/>
                    </m:rPr>
                    <m:t>⏟</m:t>
                  </m:r>
                </m:lim>
              </m:limLow>
            </m:e>
            <m:lim>
              <m:r>
                <m:t>K</m:t>
              </m:r>
              <m:sSub>
                <m:e>
                  <m:r>
                    <m:t>M</m:t>
                  </m:r>
                </m:e>
                <m:sub>
                  <m:r>
                    <m:t>i</m:t>
                  </m:r>
                </m:sub>
              </m:sSub>
            </m:lim>
          </m:limLow>
          <m:r>
            <m:rPr>
              <m:sty m:val="p"/>
            </m:rPr>
            <m:t>×</m:t>
          </m:r>
          <m:r>
            <m:t>F</m:t>
          </m:r>
          <m:sSub>
            <m:e>
              <m:r>
                <m:t>I</m:t>
              </m:r>
            </m:e>
            <m:sub>
              <m:r>
                <m:t>i</m:t>
              </m:r>
            </m:sub>
          </m:sSub>
          <m:r>
            <m:rPr>
              <m:sty m:val="p"/>
            </m:rPr>
            <m:t>×</m:t>
          </m:r>
          <m:r>
            <m:t>D</m:t>
          </m:r>
          <m:sSub>
            <m:e>
              <m:r>
                <m:t>M</m:t>
              </m:r>
            </m:e>
            <m:sub>
              <m:r>
                <m:rPr>
                  <m:nor/>
                  <m:sty m:val="p"/>
                </m:rPr>
                <m:t>ref</m:t>
              </m:r>
            </m:sub>
          </m:sSub>
          <m:r>
            <m:rPr>
              <m:sty m:val="p"/>
            </m:rPr>
            <m:t>×</m:t>
          </m:r>
          <m:r>
            <m:t>F</m:t>
          </m:r>
          <m:sSub>
            <m:e>
              <m:r>
                <m:t>T</m:t>
              </m:r>
            </m:e>
            <m:sub>
              <m:r>
                <m:t>i</m:t>
              </m:r>
            </m:sub>
          </m:sSub>
          <m:r>
            <m:rPr>
              <m:sty m:val="p"/>
            </m:rPr>
            <m:t>×</m:t>
          </m:r>
          <m:r>
            <m:t>F</m:t>
          </m:r>
          <m:sSub>
            <m:e>
              <m:r>
                <m:t>C</m:t>
              </m:r>
            </m:e>
            <m:sub>
              <m:r>
                <m:rPr>
                  <m:nor/>
                  <m:sty m:val="p"/>
                </m:rPr>
                <m:t>default</m:t>
              </m:r>
            </m:sub>
          </m:sSub>
        </m:oMath>
      </m:oMathPara>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Estimativa de PB por tipologia — Obras lineares</w:t>
      </w:r>
    </w:p>
    <w:p>
      <w:pPr>
        <w:spacing w:before="0" w:after="60"/>
        <w:keepNext/>
        <w:jc w:val="start"/>
        <w:pStyle w:val="caption"/>
      </w:pPr>
      <w:r>
        <w:rPr>
          <w:rFonts w:ascii="Calibri" w:hAnsi="Calibri"/>
          <w:sz w:val="20"/>
          <w:color w:val="333333"/>
        </w:rPr>
        <w:t xml:space="preserve">DM_ref = 3.895 hab/km² · FC = 1,00 · INV = R$ 3,9 bi</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start w:val="single" w:space="0" w:color="D3D3D3"/>
              <w:end w:val="single" w:space="0" w:color="D3D3D3"/>
            </w:tcBorders>
            <w:vMerge w:val="restart"/>
            <w:vAlign w:val="bottom"/>
            <w:gridSpan w:val="1"/>
          </w:tcPr>
          <w:p>
            <w:pPr>
              <w:spacing w:before="0" w:after="60"/>
              <w:keepNext/>
              <w:jc w:val="start"/>
            </w:pPr>
            <w:r>
              <w:rPr>
                <w:rFonts w:ascii="Calibri" w:hAnsi="Calibri"/>
                <w:sz w:val="20"/>
              </w:rPr>
              <w:t xml:space="default"/>
            </w:r>
          </w:p>
        </w:tc>
        <w:tc>
          <w:tcPr>
            <w:tcBorders>
              <w:top w:val="single" w:sz="16" w:space="0" w:color="929292"/>
              <w:start w:val="single" w:space="0" w:color="D3D3D3"/>
            </w:tcBorders>
          </w:tcPr>
          <w:p>
            <w:pPr>
              <w:spacing w:before="0" w:after="60"/>
              <w:keepNext/>
            </w:pPr>
            <w:r>
              <w:rPr>
                <w:rFonts w:ascii="Calibri" w:hAnsi="Calibri"/>
                <w:sz w:val="20"/>
              </w:rPr>
              <w:t xml:space="default"/>
            </w:r>
          </w:p>
        </w:tc>
        <w:tc>
          <w:tcPr>
            <w:tcBorders>
              <w:top w:val="single" w:sz="16" w:space="0" w:color="929292"/>
            </w:tcBorders>
          </w:tcPr>
          <w:p>
            <w:pPr>
              <w:spacing w:before="0" w:after="60"/>
              <w:keepNext/>
            </w:pPr>
            <w:r>
              <w:rPr>
                <w:rFonts w:ascii="Calibri" w:hAnsi="Calibri"/>
                <w:sz w:val="20"/>
              </w:rPr>
              <w:t xml:space="default"/>
            </w:r>
          </w:p>
        </w:tc>
        <w:tc>
          <w:tcPr>
            <w:tcBorders>
              <w:top w:val="single" w:sz="16" w:space="0" w:color="929292"/>
              <w:bottom w:val="single" w:sz="16" w:space="0" w:color="929292"/>
            </w:tcBorders>
            <w:gridSpan w:val="4"/>
          </w:tcPr>
          <w:p>
            <w:pPr>
              <w:spacing w:before="0" w:after="60"/>
              <w:keepNext/>
              <w:jc w:val="center"/>
            </w:pPr>
            <w:r>
              <w:rPr>
                <w:rFonts w:ascii="Calibri" w:hAnsi="Calibri"/>
                <w:sz w:val="20"/>
              </w:rPr>
              <w:t xml:space="default">Parâmetros do módulo</w:t>
            </w:r>
          </w:p>
        </w:tc>
        <w:tc>
          <w:tcPr>
            <w:tcBorders>
              <w:top w:val="single" w:sz="16" w:space="0" w:color="929292"/>
            </w:tcBorders>
          </w:tcPr>
          <w:p>
            <w:pPr>
              <w:spacing w:before="0" w:after="60"/>
              <w:keepNext/>
            </w:pPr>
            <w:r>
              <w:rPr>
                <w:rFonts w:ascii="Calibri" w:hAnsi="Calibri"/>
                <w:sz w:val="20"/>
              </w:rPr>
              <w:t xml:space="default"/>
            </w:r>
          </w:p>
        </w:tc>
        <w:tc>
          <w:tcPr>
            <w:tcBorders>
              <w:top w:val="single" w:sz="16" w:space="0" w:color="929292"/>
              <w:end w:val="single" w:space="0" w:color="D3D3D3"/>
            </w:tcBorders>
          </w:tcPr>
          <w:p>
            <w:pPr>
              <w:spacing w:before="0" w:after="60"/>
              <w:keepNext/>
            </w:pPr>
            <w:r>
              <w:rPr>
                <w:rFonts w:ascii="Calibri" w:hAnsi="Calibri"/>
                <w:sz w:val="20"/>
              </w:rPr>
              <w:t xml:space="default"/>
            </w:r>
          </w:p>
        </w:tc>
      </w:tr>
      <w:tr>
        <w:trPr>
          <w:cantSplit/>
          <w:tblHeader/>
        </w:trPr>
        <w:tc>
          <w:tcPr>
            <w:tcBorders>
              <w:bottom w:val="single" w:sz="16" w:space="0" w:color="929292"/>
              <w:start w:val="single" w:space="0" w:color="D3D3D3"/>
              <w:end w:val="single" w:space="0" w:color="D3D3D3"/>
            </w:tcBorders>
            <w:vMerge w:val="continue"/>
          </w:tcPr>
          <w:p>
            <w:pPr>
              <w:spacing w:before="0" w:after="60"/>
              <w:keepNext/>
            </w:pPr>
            <w:r>
              <w:rPr>
                <w:rFonts w:ascii="Calibri" w:hAnsi="Calibri"/>
                <w:sz w:val="20"/>
              </w:rPr>
              <w:t xml:space="default"/>
            </w:r>
          </w:p>
        </w:tc>
        <w:tc>
          <w:tcPr>
            <w:tcBorders>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Tipologia</w:t>
            </w:r>
          </w:p>
        </w:tc>
        <w:tc>
          <w:tcPr>
            <w:tcBorders>
              <w:bottom w:val="single" w:sz="16" w:space="0" w:color="929292"/>
            </w:tcBorders>
            <w:shd w:val="clear" w:color="auto" w:fill="2C5AA0"/>
          </w:tcPr>
          <w:p>
            <w:pPr>
              <w:spacing w:before="0" w:after="60"/>
              <w:keepNext/>
              <w:jc w:val="center"/>
            </w:pPr>
            <w:r>
              <w:rPr>
                <w:rFonts w:ascii="Calibri" w:hAnsi="Calibri"/>
                <w:sz w:val="20"/>
                <w:color w:val="FFFFFF"/>
              </w:rPr>
              <w:t xml:space="default">wᴵ (%)</w:t>
            </w:r>
          </w:p>
        </w:tc>
        <w:tc>
          <w:tcPr>
            <w:tcBorders>
              <w:bottom w:val="single" w:sz="16" w:space="0" w:color="929292"/>
            </w:tcBorders>
            <w:shd w:val="clear" w:color="auto" w:fill="2C5AA0"/>
          </w:tcPr>
          <w:p>
            <w:pPr>
              <w:spacing w:before="0" w:after="60"/>
              <w:keepNext/>
              <w:jc w:val="center"/>
            </w:pPr>
            <w:r>
              <w:rPr>
                <w:rFonts w:ascii="Calibri" w:hAnsi="Calibri"/>
                <w:sz w:val="20"/>
                <w:color w:val="FFFFFF"/>
              </w:rPr>
              <w:t xml:space="default">C₝ec (R$ mi/km)</w:t>
            </w:r>
          </w:p>
        </w:tc>
        <w:tc>
          <w:tcPr>
            <w:tcBorders>
              <w:bottom w:val="single" w:sz="16" w:space="0" w:color="929292"/>
            </w:tcBorders>
            <w:shd w:val="clear" w:color="auto" w:fill="2C5AA0"/>
          </w:tcPr>
          <w:p>
            <w:pPr>
              <w:spacing w:before="0" w:after="60"/>
              <w:keepNext/>
              <w:jc w:val="center"/>
            </w:pPr>
            <w:r>
              <w:rPr>
                <w:rFonts w:ascii="Calibri" w:hAnsi="Calibri"/>
                <w:sz w:val="20"/>
                <w:color w:val="FFFFFF"/>
              </w:rPr>
              <w:t xml:space="default">KMᴵ (km)</w:t>
            </w:r>
          </w:p>
        </w:tc>
        <w:tc>
          <w:tcPr>
            <w:tcBorders>
              <w:bottom w:val="single" w:sz="16" w:space="0" w:color="929292"/>
            </w:tcBorders>
            <w:shd w:val="clear" w:color="auto" w:fill="2C5AA0"/>
          </w:tcPr>
          <w:p>
            <w:pPr>
              <w:spacing w:before="0" w:after="60"/>
              <w:keepNext/>
              <w:jc w:val="center"/>
            </w:pPr>
            <w:r>
              <w:rPr>
                <w:rFonts w:ascii="Calibri" w:hAnsi="Calibri"/>
                <w:sz w:val="20"/>
                <w:color w:val="FFFFFF"/>
              </w:rPr>
              <w:t xml:space="default">FIᴵ (km)</w:t>
            </w:r>
          </w:p>
        </w:tc>
        <w:tc>
          <w:tcPr>
            <w:tcBorders>
              <w:bottom w:val="single" w:sz="16" w:space="0" w:color="929292"/>
            </w:tcBorders>
            <w:shd w:val="clear" w:color="auto" w:fill="2C5AA0"/>
          </w:tcPr>
          <w:p>
            <w:pPr>
              <w:spacing w:before="0" w:after="60"/>
              <w:keepNext/>
              <w:jc w:val="center"/>
            </w:pPr>
            <w:r>
              <w:rPr>
                <w:rFonts w:ascii="Calibri" w:hAnsi="Calibri"/>
                <w:sz w:val="20"/>
                <w:color w:val="FFFFFF"/>
              </w:rPr>
              <w:t xml:space="default">FTᴵ</w:t>
            </w:r>
          </w:p>
        </w:tc>
        <w:tc>
          <w:tcPr>
            <w:tcBorders>
              <w:bottom w:val="single" w:sz="16" w:space="0" w:color="929292"/>
            </w:tcBorders>
            <w:shd w:val="clear" w:color="auto" w:fill="2C5AA0"/>
          </w:tcPr>
          <w:p>
            <w:pPr>
              <w:spacing w:before="0" w:after="60"/>
              <w:keepNext/>
              <w:jc w:val="center"/>
            </w:pPr>
            <w:r>
              <w:rPr>
                <w:rFonts w:ascii="Calibri" w:hAnsi="Calibri"/>
                <w:sz w:val="20"/>
                <w:color w:val="FFFFFF"/>
              </w:rPr>
              <w:t xml:space="default">INVᴵ (R$ mi)</w:t>
            </w:r>
          </w:p>
        </w:tc>
        <w:tc>
          <w:tcPr>
            <w:tcBorders>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PBᴵ (pessoas)</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Metrô</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727,8</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0,3</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4,00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1,00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195</w:t>
            </w:r>
          </w:p>
        </w:tc>
        <w:tc>
          <w:tcPr>
            <w:tcBorders>
              <w:top w:val="single" w:space="0" w:color="D9E2F2"/>
              <w:bottom w:val="single" w:space="0" w:color="D9E2F2"/>
              <w:start w:val="single" w:space="0" w:color="929292"/>
              <w:end w:val="single" w:space="0" w:color="929292"/>
            </w:tcBorders>
            <w:shd w:val="clear" w:color="auto" w:fill="EAF7EA"/>
          </w:tcPr>
          <w:p>
            <w:pPr>
              <w:spacing w:before="0" w:after="60"/>
              <w:keepNext/>
              <w:jc w:val="end"/>
            </w:pPr>
            <w:r>
              <w:rPr>
                <w:rFonts w:ascii="Calibri" w:hAnsi="Calibri"/>
                <w:sz w:val="20"/>
                <w:color w:val="000000"/>
              </w:rPr>
              <w:t xml:space="default">4.172</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Trem urbano</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313,3</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0,6</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2,00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0,80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195</w:t>
            </w:r>
          </w:p>
        </w:tc>
        <w:tc>
          <w:tcPr>
            <w:tcBorders>
              <w:top w:val="single" w:space="0" w:color="D9E2F2"/>
              <w:bottom w:val="single" w:space="0" w:color="D9E2F2"/>
              <w:start w:val="single" w:space="0" w:color="929292"/>
              <w:end w:val="single" w:space="0" w:color="929292"/>
            </w:tcBorders>
            <w:shd w:val="clear" w:color="auto" w:fill="EAF7EA"/>
          </w:tcPr>
          <w:p>
            <w:pPr>
              <w:spacing w:before="0" w:after="60"/>
              <w:keepNext/>
              <w:jc w:val="end"/>
            </w:pPr>
            <w:r>
              <w:rPr>
                <w:rFonts w:ascii="Calibri" w:hAnsi="Calibri"/>
                <w:sz w:val="20"/>
                <w:color w:val="000000"/>
              </w:rPr>
              <w:t xml:space="default">3.876</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VLT</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124,5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1,6</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1,50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0,50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195</w:t>
            </w:r>
          </w:p>
        </w:tc>
        <w:tc>
          <w:tcPr>
            <w:tcBorders>
              <w:top w:val="single" w:space="0" w:color="D9E2F2"/>
              <w:bottom w:val="single" w:space="0" w:color="D9E2F2"/>
              <w:start w:val="single" w:space="0" w:color="929292"/>
              <w:end w:val="single" w:space="0" w:color="929292"/>
            </w:tcBorders>
            <w:shd w:val="clear" w:color="auto" w:fill="EAF7EA"/>
          </w:tcPr>
          <w:p>
            <w:pPr>
              <w:spacing w:before="0" w:after="60"/>
              <w:keepNext/>
              <w:jc w:val="end"/>
            </w:pPr>
            <w:r>
              <w:rPr>
                <w:rFonts w:ascii="Calibri" w:hAnsi="Calibri"/>
                <w:sz w:val="20"/>
                <w:color w:val="000000"/>
              </w:rPr>
              <w:t xml:space="default">4.573</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BRT</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35%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88,0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15,5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1,50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0,60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1.364</w:t>
            </w:r>
          </w:p>
        </w:tc>
        <w:tc>
          <w:tcPr>
            <w:tcBorders>
              <w:top w:val="single" w:space="0" w:color="D9E2F2"/>
              <w:bottom w:val="single" w:space="0" w:color="D9E2F2"/>
              <w:start w:val="single" w:space="0" w:color="929292"/>
              <w:end w:val="single" w:space="0" w:color="929292"/>
            </w:tcBorders>
            <w:shd w:val="clear" w:color="auto" w:fill="E4F4E3"/>
          </w:tcPr>
          <w:p>
            <w:pPr>
              <w:spacing w:before="0" w:after="60"/>
              <w:keepNext/>
              <w:jc w:val="end"/>
            </w:pPr>
            <w:r>
              <w:rPr>
                <w:rFonts w:ascii="Calibri" w:hAnsi="Calibri"/>
                <w:sz w:val="20"/>
                <w:color w:val="000000"/>
              </w:rPr>
              <w:t xml:space="default">54.364</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Corredor de ônibus</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41,8</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23,3</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1,00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0,50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974</w:t>
            </w:r>
          </w:p>
        </w:tc>
        <w:tc>
          <w:tcPr>
            <w:tcBorders>
              <w:top w:val="single" w:space="0" w:color="D9E2F2"/>
              <w:bottom w:val="single" w:space="0" w:color="D9E2F2"/>
              <w:start w:val="single" w:space="0" w:color="929292"/>
              <w:end w:val="single" w:space="0" w:color="929292"/>
            </w:tcBorders>
            <w:shd w:val="clear" w:color="auto" w:fill="E5F5E4"/>
          </w:tcPr>
          <w:p>
            <w:pPr>
              <w:spacing w:before="0" w:after="60"/>
              <w:keepNext/>
              <w:jc w:val="end"/>
            </w:pPr>
            <w:r>
              <w:rPr>
                <w:rFonts w:ascii="Calibri" w:hAnsi="Calibri"/>
                <w:sz w:val="20"/>
                <w:color w:val="000000"/>
              </w:rPr>
              <w:t xml:space="default">45.390</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Qualificação viária</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1,1</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742,4</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1,00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0,40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780</w:t>
            </w:r>
          </w:p>
        </w:tc>
        <w:tc>
          <w:tcPr>
            <w:tcBorders>
              <w:top w:val="single" w:space="0" w:color="D9E2F2"/>
              <w:bottom w:val="single" w:space="0" w:color="D9E2F2"/>
              <w:start w:val="single" w:space="0" w:color="929292"/>
              <w:end w:val="single" w:space="0" w:color="929292"/>
            </w:tcBorders>
            <w:shd w:val="clear" w:color="auto" w:fill="2E7D32"/>
          </w:tcPr>
          <w:p>
            <w:pPr>
              <w:spacing w:before="0" w:after="60"/>
              <w:keepNext/>
              <w:jc w:val="end"/>
            </w:pPr>
            <w:r>
              <w:rPr>
                <w:rFonts w:ascii="Calibri" w:hAnsi="Calibri"/>
                <w:sz w:val="20"/>
                <w:color w:val="FFFFFF"/>
              </w:rPr>
              <w:t xml:space="default">1.156.739</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Ciclovia / ciclofaixa</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3%</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0,9</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132,9</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0,60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0,20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117</w:t>
            </w:r>
          </w:p>
        </w:tc>
        <w:tc>
          <w:tcPr>
            <w:tcBorders>
              <w:top w:val="single" w:space="0" w:color="D9E2F2"/>
              <w:bottom w:val="single" w:space="0" w:color="D9E2F2"/>
              <w:start w:val="single" w:space="0" w:color="929292"/>
              <w:end w:val="single" w:space="0" w:color="929292"/>
            </w:tcBorders>
            <w:shd w:val="clear" w:color="auto" w:fill="E3F4E1"/>
          </w:tcPr>
          <w:p>
            <w:pPr>
              <w:spacing w:before="0" w:after="60"/>
              <w:keepNext/>
              <w:jc w:val="end"/>
            </w:pPr>
            <w:r>
              <w:rPr>
                <w:rFonts w:ascii="Calibri" w:hAnsi="Calibri"/>
                <w:sz w:val="20"/>
                <w:color w:val="000000"/>
              </w:rPr>
              <w:t xml:space="default">62.109</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Calçada / acessibilidade</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155,9</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0,30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0,30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78</w:t>
            </w:r>
          </w:p>
        </w:tc>
        <w:tc>
          <w:tcPr>
            <w:tcBorders>
              <w:top w:val="single" w:space="0" w:color="D9E2F2"/>
              <w:bottom w:val="single" w:space="0" w:color="D9E2F2"/>
              <w:start w:val="single" w:space="0" w:color="929292"/>
              <w:end w:val="single" w:space="0" w:color="929292"/>
            </w:tcBorders>
            <w:shd w:val="clear" w:color="auto" w:fill="E4F4E3"/>
          </w:tcPr>
          <w:p>
            <w:pPr>
              <w:spacing w:before="0" w:after="60"/>
              <w:keepNext/>
              <w:jc w:val="end"/>
            </w:pPr>
            <w:r>
              <w:rPr>
                <w:rFonts w:ascii="Calibri" w:hAnsi="Calibri"/>
                <w:sz w:val="20"/>
                <w:color w:val="000000"/>
              </w:rPr>
              <w:t xml:space="default">54.656</w:t>
            </w:r>
          </w:p>
        </w:tc>
      </w:tr>
      <w:tr>
        <w:trPr>
          <w:cantSplit/>
        </w:trPr>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Total</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100%</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3.898</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1.385.879</w:t>
            </w:r>
          </w:p>
        </w:tc>
      </w:tr>
    </w:tbl>
    <w:p>
      <w:pPr>
        <w:pStyle w:val="FirstParagraph"/>
      </w:pPr>
      <w:r>
        <w:rPr>
          <w:b/>
          <w:bCs/>
        </w:rPr>
        <w:t xml:space="preserve">Aquisição de frota — R$ 2,5 bilhões</w:t>
      </w:r>
    </w:p>
    <w:p>
      <w:pPr>
        <w:pStyle w:val="BodyText"/>
      </w:pPr>
      <w:r>
        <w:t xml:space="preserve">Para a frota, a decomposição segue a mesma lógica: distribuição do orçamento por tipo de veículo conforme os pesos históricos, cálculo do número de unidades adquiridas e aplicação do</w:t>
      </w:r>
      <w:r>
        <w:t xml:space="preserve"> </w:t>
      </w:r>
      <m:oMath>
        <m:sSub>
          <m:e>
            <m:r>
              <m:t>B</m:t>
            </m:r>
          </m:e>
          <m:sub>
            <m:r>
              <m:t>u</m:t>
            </m:r>
            <m:r>
              <m:t>n</m:t>
            </m:r>
            <m:r>
              <m:t>i</m:t>
            </m:r>
            <m:r>
              <m:t>t</m:t>
            </m:r>
          </m:sub>
        </m:sSub>
      </m:oMath>
      <w:r>
        <w:t xml:space="preserve"> </w:t>
      </w:r>
      <w:r>
        <w:t xml:space="preserve">de cada modalidade.</w:t>
      </w:r>
    </w:p>
    <w:p>
      <w:pPr>
        <w:pStyle w:val="BodyText"/>
      </w:pPr>
      <m:oMathPara>
        <m:oMathParaPr>
          <m:jc m:val="center"/>
        </m:oMathParaPr>
        <m:oMath>
          <m:r>
            <m:t>P</m:t>
          </m:r>
          <m:sSub>
            <m:e>
              <m:r>
                <m:t>B</m:t>
              </m:r>
            </m:e>
            <m:sub>
              <m:r>
                <m:rPr>
                  <m:nor/>
                  <m:sty m:val="p"/>
                </m:rPr>
                <m:t>frota</m:t>
              </m:r>
              <m:r>
                <m:rPr>
                  <m:sty m:val="p"/>
                </m:rPr>
                <m:t>,</m:t>
              </m:r>
              <m:r>
                <m:t>j</m:t>
              </m:r>
            </m:sub>
          </m:sSub>
          <m:r>
            <m:rPr>
              <m:sty m:val="p"/>
            </m:rPr>
            <m:t>=</m:t>
          </m:r>
          <m:f>
            <m:fPr>
              <m:type m:val="bar"/>
            </m:fPr>
            <m:num>
              <m:sSub>
                <m:e>
                  <m:r>
                    <m:t>w</m:t>
                  </m:r>
                </m:e>
                <m:sub>
                  <m:r>
                    <m:t>j</m:t>
                  </m:r>
                </m:sub>
              </m:sSub>
              <m:r>
                <m:rPr>
                  <m:sty m:val="p"/>
                </m:rPr>
                <m:t>×</m:t>
              </m:r>
              <m:r>
                <m:t>I</m:t>
              </m:r>
              <m:r>
                <m:t>N</m:t>
              </m:r>
              <m:sSub>
                <m:e>
                  <m:r>
                    <m:t>V</m:t>
                  </m:r>
                </m:e>
                <m:sub>
                  <m:r>
                    <m:rPr>
                      <m:nor/>
                      <m:sty m:val="p"/>
                    </m:rPr>
                    <m:t>frota</m:t>
                  </m:r>
                </m:sub>
              </m:sSub>
            </m:num>
            <m:den>
              <m:sSub>
                <m:e>
                  <m:r>
                    <m:t>C</m:t>
                  </m:r>
                </m:e>
                <m:sub>
                  <m:r>
                    <m:rPr>
                      <m:nor/>
                      <m:sty m:val="p"/>
                    </m:rPr>
                    <m:t>unit</m:t>
                  </m:r>
                  <m:r>
                    <m:rPr>
                      <m:sty m:val="p"/>
                    </m:rPr>
                    <m:t>,</m:t>
                  </m:r>
                  <m:r>
                    <m:t>j</m:t>
                  </m:r>
                </m:sub>
              </m:sSub>
            </m:den>
          </m:f>
          <m:r>
            <m:rPr>
              <m:sty m:val="p"/>
            </m:rPr>
            <m:t>×</m:t>
          </m:r>
          <m:sSub>
            <m:e>
              <m:r>
                <m:t>B</m:t>
              </m:r>
            </m:e>
            <m:sub>
              <m:r>
                <m:rPr>
                  <m:nor/>
                  <m:sty m:val="p"/>
                </m:rPr>
                <m:t>unit</m:t>
              </m:r>
              <m:r>
                <m:rPr>
                  <m:sty m:val="p"/>
                </m:rPr>
                <m:t>,</m:t>
              </m:r>
              <m:r>
                <m:t>j</m:t>
              </m:r>
            </m:sub>
          </m:sSub>
        </m:oMath>
      </m:oMathPara>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Estimativa de PB por tipo de veículo — Aquisição de frota</w:t>
      </w:r>
    </w:p>
    <w:p>
      <w:pPr>
        <w:spacing w:before="0" w:after="60"/>
        <w:keepNext/>
        <w:jc w:val="start"/>
        <w:pStyle w:val="caption"/>
      </w:pPr>
      <w:r>
        <w:rPr>
          <w:rFonts w:ascii="Calibri" w:hAnsi="Calibri"/>
          <w:sz w:val="20"/>
          <w:color w:val="333333"/>
        </w:rPr>
        <w:t xml:space="default">INV = R$ 2,5 bi</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end w:val="single" w:space="0" w:color="D3D3D3"/>
            </w:tcBorders>
          </w:tcPr>
          <w:p>
            <w:pPr>
              <w:spacing w:before="0" w:after="60"/>
              <w:keepNext/>
              <w:jc w:val="start"/>
            </w:pPr>
            <w:r>
              <w:rPr>
                <w:rFonts w:ascii="Calibri" w:hAnsi="Calibri"/>
                <w:sz w:val="20"/>
              </w:rPr>
              <w:t xml:space="default"/>
            </w:r>
          </w:p>
        </w:tc>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Tipo de veículo</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wⱼ (%)</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INVⱼ (R$ mi)</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Cᵤₙᵢₜ (R$ mi/un.)</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Unidades</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Bᵤₙᵢₜ (pessoas/un.)</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PBⱼ (pessoas)</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Ônibus Euro 6 — convencional</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70%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1.752</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0,82</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2.136</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500</w:t>
            </w:r>
          </w:p>
        </w:tc>
        <w:tc>
          <w:tcPr>
            <w:tcBorders>
              <w:top w:val="single" w:space="0" w:color="D9E2F2"/>
              <w:bottom w:val="single" w:space="0" w:color="D9E2F2"/>
              <w:start w:val="single" w:space="0" w:color="929292"/>
              <w:end w:val="single" w:space="0" w:color="929292"/>
            </w:tcBorders>
            <w:shd w:val="clear" w:color="auto" w:fill="2E7D32"/>
          </w:tcPr>
          <w:p>
            <w:pPr>
              <w:spacing w:before="0" w:after="60"/>
              <w:keepNext/>
              <w:jc w:val="end"/>
            </w:pPr>
            <w:r>
              <w:rPr>
                <w:rFonts w:ascii="Calibri" w:hAnsi="Calibri"/>
                <w:sz w:val="20"/>
                <w:color w:val="FFFFFF"/>
              </w:rPr>
              <w:t xml:space="default">1.068.098</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Ônibus Euro 6 — articulado</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125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1,45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86</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800</w:t>
            </w:r>
          </w:p>
        </w:tc>
        <w:tc>
          <w:tcPr>
            <w:tcBorders>
              <w:top w:val="single" w:space="0" w:color="D9E2F2"/>
              <w:bottom w:val="single" w:space="0" w:color="D9E2F2"/>
              <w:start w:val="single" w:space="0" w:color="929292"/>
              <w:end w:val="single" w:space="0" w:color="929292"/>
            </w:tcBorders>
            <w:shd w:val="clear" w:color="auto" w:fill="E4F5E3"/>
          </w:tcPr>
          <w:p>
            <w:pPr>
              <w:spacing w:before="0" w:after="60"/>
              <w:keepNext/>
              <w:jc w:val="end"/>
            </w:pPr>
            <w:r>
              <w:rPr>
                <w:rFonts w:ascii="Calibri" w:hAnsi="Calibri"/>
                <w:sz w:val="20"/>
                <w:color w:val="000000"/>
              </w:rPr>
              <w:t xml:space="default">69.032</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Ônibus elétrico — convencional</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250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3,30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76</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550</w:t>
            </w:r>
          </w:p>
        </w:tc>
        <w:tc>
          <w:tcPr>
            <w:tcBorders>
              <w:top w:val="single" w:space="0" w:color="D9E2F2"/>
              <w:bottom w:val="single" w:space="0" w:color="D9E2F2"/>
              <w:start w:val="single" w:space="0" w:color="929292"/>
              <w:end w:val="single" w:space="0" w:color="929292"/>
            </w:tcBorders>
            <w:shd w:val="clear" w:color="auto" w:fill="E8F6E7"/>
          </w:tcPr>
          <w:p>
            <w:pPr>
              <w:spacing w:before="0" w:after="60"/>
              <w:keepNext/>
              <w:jc w:val="end"/>
            </w:pPr>
            <w:r>
              <w:rPr>
                <w:rFonts w:ascii="Calibri" w:hAnsi="Calibri"/>
                <w:sz w:val="20"/>
                <w:color w:val="000000"/>
              </w:rPr>
              <w:t xml:space="default">41.707</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Ônibus elétrico — articulado</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125</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4,50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28</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900</w:t>
            </w:r>
          </w:p>
        </w:tc>
        <w:tc>
          <w:tcPr>
            <w:tcBorders>
              <w:top w:val="single" w:space="0" w:color="D9E2F2"/>
              <w:bottom w:val="single" w:space="0" w:color="D9E2F2"/>
              <w:start w:val="single" w:space="0" w:color="929292"/>
              <w:end w:val="single" w:space="0" w:color="929292"/>
            </w:tcBorders>
            <w:shd w:val="clear" w:color="auto" w:fill="EAF7EA"/>
          </w:tcPr>
          <w:p>
            <w:pPr>
              <w:spacing w:before="0" w:after="60"/>
              <w:keepNext/>
              <w:jc w:val="end"/>
            </w:pPr>
            <w:r>
              <w:rPr>
                <w:rFonts w:ascii="Calibri" w:hAnsi="Calibri"/>
                <w:sz w:val="20"/>
                <w:color w:val="000000"/>
              </w:rPr>
              <w:t xml:space="default">25.024</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
            </w:r>
          </w:p>
        </w:tc>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default">Material rodante sobre trilhos</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250</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15,93</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16</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3.500</w:t>
            </w:r>
          </w:p>
        </w:tc>
        <w:tc>
          <w:tcPr>
            <w:tcBorders>
              <w:top w:val="single" w:space="0" w:color="D9E2F2"/>
              <w:bottom w:val="single" w:space="0" w:color="D9E2F2"/>
              <w:start w:val="single" w:space="0" w:color="929292"/>
              <w:end w:val="single" w:space="0" w:color="929292"/>
            </w:tcBorders>
            <w:shd w:val="clear" w:color="auto" w:fill="E6F5E5"/>
          </w:tcPr>
          <w:p>
            <w:pPr>
              <w:spacing w:before="0" w:after="60"/>
              <w:keepNext/>
              <w:jc w:val="end"/>
            </w:pPr>
            <w:r>
              <w:rPr>
                <w:rFonts w:ascii="Calibri" w:hAnsi="Calibri"/>
                <w:sz w:val="20"/>
                <w:color w:val="000000"/>
              </w:rPr>
              <w:t xml:space="default">54.981</w:t>
            </w:r>
          </w:p>
        </w:tc>
      </w:tr>
      <w:tr>
        <w:trPr>
          <w:cantSplit/>
        </w:trPr>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Total</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100%</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2.502</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2.342</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w:t>
            </w:r>
          </w:p>
        </w:tc>
        <w:tc>
          <w:tcPr>
            <w:tcBorders>
              <w:top w:val="single" w:sz="16" w:space="0" w:color="D9E2F2"/>
              <w:bottom w:val="single" w:sz="16" w:space="0" w:color="D9E2F2"/>
              <w:start w:val="single" w:space="0" w:color="929292"/>
              <w:end w:val="single" w:space="0" w:color="929292"/>
            </w:tcBorders>
            <w:tcMar>
              <w:top w:w="50" w:type="dxa"/>
            </w:tcMar>
          </w:tcPr>
          <w:p>
            <w:pPr>
              <w:spacing w:before="0" w:after="60"/>
              <w:keepNext/>
            </w:pPr>
            <w:r>
              <w:rPr>
                <w:rFonts w:ascii="Calibri" w:hAnsi="Calibri"/>
                <w:sz w:val="20"/>
              </w:rPr>
              <w:t xml:space="default">1.258.842</w:t>
            </w:r>
          </w:p>
        </w:tc>
      </w:tr>
    </w:tbl>
    <w:p>
      <w:pPr>
        <w:pStyle w:val="FirstParagraph"/>
      </w:pPr>
      <w:r>
        <w:rPr>
          <w:b/>
          <w:bCs/>
        </w:rPr>
        <w:t xml:space="preserve">Resultado consolidado</w:t>
      </w:r>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Resultado consolidado — Orçamento previsto de R$ 6,4 bilhões</w:t>
      </w:r>
    </w:p>
    <w:p>
      <w:pPr>
        <w:spacing w:before="0" w:after="60"/>
        <w:keepNext/>
        <w:jc w:val="start"/>
        <w:pStyle w:val="caption"/>
      </w:pPr>
      <w:r>
        <w:rPr>
          <w:rFonts w:ascii="Calibri" w:hAnsi="Calibri"/>
          <w:sz w:val="20"/>
          <w:color w:val="333333"/>
        </w:rPr>
        <w:t xml:space="default">Estimativa total da população potencialmente beneficiada</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Componente</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Investimento (R$ bi)</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PB estimado (pessoas)</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preserve">Obras lineares</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3,9</w:t>
            </w:r>
          </w:p>
        </w:tc>
        <w:tc>
          <w:tcPr>
            <w:tcBorders>
              <w:top w:val="single" w:space="0" w:color="D9E2F2"/>
              <w:bottom w:val="single" w:space="0" w:color="D9E2F2"/>
              <w:start w:val="single" w:space="0" w:color="929292"/>
              <w:end w:val="single" w:space="0" w:color="929292"/>
            </w:tcBorders>
            <w:shd w:val="clear" w:color="auto" w:fill="DDF2DA"/>
          </w:tcPr>
          <w:p>
            <w:pPr>
              <w:spacing w:before="0" w:after="60"/>
              <w:keepNext/>
              <w:jc w:val="end"/>
            </w:pPr>
            <w:r>
              <w:rPr>
                <w:rFonts w:ascii="Calibri" w:hAnsi="Calibri"/>
                <w:sz w:val="20"/>
                <w:color w:val="000000"/>
              </w:rPr>
              <w:t xml:space="default">1.385.879</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rFonts w:ascii="Calibri" w:hAnsi="Calibri"/>
                <w:sz w:val="20"/>
              </w:rPr>
              <w:t xml:space="preserve">Aquisição de frota</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rPr>
              <w:t xml:space="default">2,5</w:t>
            </w:r>
          </w:p>
        </w:tc>
        <w:tc>
          <w:tcPr>
            <w:tcBorders>
              <w:top w:val="single" w:space="0" w:color="D9E2F2"/>
              <w:bottom w:val="single" w:space="0" w:color="D9E2F2"/>
              <w:start w:val="single" w:space="0" w:color="929292"/>
              <w:end w:val="single" w:space="0" w:color="929292"/>
            </w:tcBorders>
            <w:shd w:val="clear" w:color="auto" w:fill="EAF7EA"/>
          </w:tcPr>
          <w:p>
            <w:pPr>
              <w:spacing w:before="0" w:after="60"/>
              <w:keepNext/>
              <w:jc w:val="end"/>
            </w:pPr>
            <w:r>
              <w:rPr>
                <w:rFonts w:ascii="Calibri" w:hAnsi="Calibri"/>
                <w:sz w:val="20"/>
                <w:color w:val="000000"/>
              </w:rPr>
              <w:t xml:space="default">1.258.842</w:t>
            </w:r>
          </w:p>
        </w:tc>
      </w:tr>
      <w:tr>
        <w:trPr>
          <w:cantSplit/>
        </w:trPr>
        <w:tc>
          <w:tcPr>
            <w:tcBorders>
              <w:top w:val="single" w:space="0" w:color="D9E2F2"/>
              <w:bottom w:val="single" w:space="0" w:color="D9E2F2"/>
              <w:start w:val="single" w:space="0" w:color="929292"/>
              <w:end w:val="single" w:space="0" w:color="929292"/>
            </w:tcBorders>
          </w:tcPr>
          <w:p>
            <w:pPr>
              <w:spacing w:before="0" w:after="60"/>
              <w:keepNext/>
              <w:jc w:val="start"/>
            </w:pPr>
            <w:r>
              <w:rPr>
                <w:b w:val="true"/>
                <w:rFonts w:ascii="Calibri" w:hAnsi="Calibri"/>
                <w:sz w:val="20"/>
              </w:rPr>
              <w:t xml:space="preserve">Total</w:t>
            </w:r>
          </w:p>
        </w:tc>
        <w:tc>
          <w:tcPr>
            <w:tcBorders>
              <w:top w:val="single" w:space="0" w:color="D9E2F2"/>
              <w:bottom w:val="single" w:space="0" w:color="D9E2F2"/>
              <w:start w:val="single" w:space="0" w:color="929292"/>
              <w:end w:val="single" w:space="0" w:color="929292"/>
            </w:tcBorders>
          </w:tcPr>
          <w:p>
            <w:pPr>
              <w:spacing w:before="0" w:after="60"/>
              <w:keepNext/>
              <w:jc w:val="end"/>
            </w:pPr>
            <w:r>
              <w:rPr>
                <w:rFonts w:ascii="Calibri" w:hAnsi="Calibri"/>
                <w:sz w:val="20"/>
                <w:b w:val="true"/>
              </w:rPr>
              <w:t xml:space="default">6,4</w:t>
            </w:r>
          </w:p>
        </w:tc>
        <w:tc>
          <w:tcPr>
            <w:tcBorders>
              <w:top w:val="single" w:space="0" w:color="D9E2F2"/>
              <w:bottom w:val="single" w:space="0" w:color="D9E2F2"/>
              <w:start w:val="single" w:space="0" w:color="929292"/>
              <w:end w:val="single" w:space="0" w:color="929292"/>
            </w:tcBorders>
            <w:shd w:val="clear" w:color="auto" w:fill="2E7D32"/>
          </w:tcPr>
          <w:p>
            <w:pPr>
              <w:spacing w:before="0" w:after="60"/>
              <w:keepNext/>
              <w:jc w:val="end"/>
            </w:pPr>
            <w:r>
              <w:rPr>
                <w:rFonts w:ascii="Calibri" w:hAnsi="Calibri"/>
                <w:sz w:val="20"/>
                <w:color w:val="FFFFFF"/>
                <w:b w:val="true"/>
              </w:rPr>
              <w:t xml:space="default">2.644.721</w:t>
            </w:r>
          </w:p>
        </w:tc>
      </w:tr>
    </w:tbl>
    <w:p>
      <w:pPr>
        <w:pStyle w:val="BodyText"/>
      </w:pPr>
      <w:r>
        <w:t xml:space="preserve">A nova metodologia produz uma estimativa de aproximadamente</w:t>
      </w:r>
      <w:r>
        <w:t xml:space="preserve"> </w:t>
      </w:r>
      <w:r>
        <w:rPr>
          <w:b/>
          <w:bCs/>
        </w:rPr>
        <w:t xml:space="preserve">2,64 milhões de pessoas</w:t>
      </w:r>
      <w:r>
        <w:t xml:space="preserve"> </w:t>
      </w:r>
      <w:r>
        <w:t xml:space="preserve">potencialmente beneficiadas. Note que a frota ainda representa parcela relevante do resultado — cerca de 48% dos beneficiários estimados — em razão do maior alcance unitário dos veículos em comparação com obras lineares de alto custo por quilômetro. Essa assimetria é esperada e metodologicamente coerente com a natureza de cada componente.</w:t>
      </w:r>
    </w:p>
    <w:p>
      <w:pPr>
        <w:pStyle w:val="BodyText"/>
      </w:pPr>
      <w:r>
        <w:rPr>
          <w:b/>
          <w:bCs/>
        </w:rPr>
        <w:t xml:space="preserve">Comparativo entre as duas abordagens</w:t>
      </w:r>
    </w:p>
    <w:p>
      <w:pPr>
        <w:spacing w:before="0" w:after="60"/>
        <w:keepNext/>
        <w:jc w:val="center"/>
        <w:pStyle w:val="caption"/>
      </w:pPr>
      <w:r>
        <w:rPr>
          <w:rFonts w:ascii="Calibri" w:hAnsi="Calibri"/>
          <w:sz w:val="24"/>
        </w:rPr>
        <w:t xml:space="preserve">Table </w:t>
      </w:r>
      <w:r>
        <w:fldChar w:fldCharType="begin" w:dirty="true"/>
      </w:r>
      <w:r>
        <w:instrText xml:space="preserve" w:dirty="true"> SEQ Table \* ARABIC </w:instrText>
      </w:r>
      <w:r>
        <w:fldChar w:fldCharType="separate" w:dirty="true"/>
      </w:r>
      <w:r>
        <w:rPr>
          <w:noProof/>
          <w:rFonts w:ascii="Calibri" w:hAnsi="Calibri"/>
          <w:sz w:val="24"/>
        </w:rPr>
        <w:t xml:space="default">1</w:t>
      </w:r>
      <w:r>
        <w:fldChar w:fldCharType="end" w:dirty="true"/>
      </w:r>
      <w:r>
        <w:rPr>
          <w:rFonts w:ascii="Calibri" w:hAnsi="Calibri"/>
          <w:sz w:val="24"/>
        </w:rPr>
        <w:t xml:space="preserve">: </w:t>
      </w:r>
      <w:r>
        <w:rPr>
          <w:b w:val="true"/>
          <w:rFonts w:ascii="Calibri" w:hAnsi="Calibri"/>
          <w:sz w:val="24"/>
          <w:color w:val="183A66"/>
        </w:rPr>
        <w:t xml:space="preserve">Comparativo de estimativas — Orçamento de R$ 6,4 bilhões</w:t>
      </w:r>
    </w:p>
    <w:p>
      <w:pPr>
        <w:spacing w:before="0" w:after="60"/>
        <w:keepNext/>
        <w:jc w:val="start"/>
        <w:pStyle w:val="caption"/>
      </w:pPr>
      <w:r>
        <w:rPr>
          <w:rFonts w:ascii="Calibri" w:hAnsi="Calibri"/>
          <w:sz w:val="20"/>
          <w:color w:val="333333"/>
        </w:rPr>
        <w:t xml:space="default">Fórmula atual versus nova metodologia</w:t>
      </w:r>
    </w:p>
    <w:tbl xmlns:w="http://schemas.openxmlformats.org/wordprocessingml/2006/main" xmlns:wp="http://schemas.openxmlformats.org/drawingml/2006/wordprocessingDrawing" xmlns:r="http://schemas.openxmlformats.org/officeDocument/2006/relationships" xmlns:w14="http://schemas.microsoft.com/office/word/2010/wordml">
      <w:tblPr>
        <w:tblCellMar>
          <w:top w:w="0" w:type="dxa"/>
          <w:bottom w:w="0" w:type="dxa"/>
          <w:start w:w="60" w:type="dxa"/>
          <w:end w:w="60" w:type="dxa"/>
        </w:tblCellMar>
        <w:tblW w:type="auto" w:w="0"/>
        <w:tblLook w:firstRow="0" w:lastRow="0" w:firstColumn="0" w:lastColumn="0" w:noHBand="0" w:noVBand="0"/>
        <w:jc w:val="center"/>
      </w:tblPr>
      <w:tr>
        <w:trPr>
          <w:cantSplit/>
          <w:tblHeader/>
        </w:trPr>
        <w:tc>
          <w:tcPr>
            <w:tcBorders>
              <w:top w:val="single" w:sz="16" w:space="0" w:color="929292"/>
              <w:bottom w:val="single" w:sz="16" w:space="0" w:color="929292"/>
              <w:start w:val="single" w:space="0" w:color="D3D3D3"/>
            </w:tcBorders>
            <w:shd w:val="clear" w:color="auto" w:fill="2C5AA0"/>
          </w:tcPr>
          <w:p>
            <w:pPr>
              <w:spacing w:before="0" w:after="60"/>
              <w:keepNext/>
              <w:jc w:val="center"/>
            </w:pPr>
            <w:r>
              <w:rPr>
                <w:rFonts w:ascii="Calibri" w:hAnsi="Calibri"/>
                <w:sz w:val="20"/>
                <w:color w:val="FFFFFF"/>
              </w:rPr>
              <w:t xml:space="default">Metodologia</w:t>
            </w:r>
          </w:p>
        </w:tc>
        <w:tc>
          <w:tcPr>
            <w:tcBorders>
              <w:top w:val="single" w:sz="16" w:space="0" w:color="929292"/>
              <w:bottom w:val="single" w:sz="16" w:space="0" w:color="929292"/>
            </w:tcBorders>
            <w:shd w:val="clear" w:color="auto" w:fill="2C5AA0"/>
          </w:tcPr>
          <w:p>
            <w:pPr>
              <w:spacing w:before="0" w:after="60"/>
              <w:keepNext/>
              <w:jc w:val="center"/>
            </w:pPr>
            <w:r>
              <w:rPr>
                <w:rFonts w:ascii="Calibri" w:hAnsi="Calibri"/>
                <w:sz w:val="20"/>
                <w:color w:val="FFFFFF"/>
              </w:rPr>
              <w:t xml:space="default">PB estimado (pessoas)</w:t>
            </w:r>
          </w:p>
        </w:tc>
        <w:tc>
          <w:tcPr>
            <w:tcBorders>
              <w:top w:val="single" w:sz="16" w:space="0" w:color="929292"/>
              <w:bottom w:val="single" w:sz="16" w:space="0" w:color="929292"/>
              <w:end w:val="single" w:space="0" w:color="D3D3D3"/>
            </w:tcBorders>
            <w:shd w:val="clear" w:color="auto" w:fill="2C5AA0"/>
          </w:tcPr>
          <w:p>
            <w:pPr>
              <w:spacing w:before="0" w:after="60"/>
              <w:keepNext/>
              <w:jc w:val="center"/>
            </w:pPr>
            <w:r>
              <w:rPr>
                <w:rFonts w:ascii="Calibri" w:hAnsi="Calibri"/>
                <w:sz w:val="20"/>
                <w:color w:val="FFFFFF"/>
              </w:rPr>
              <w:t xml:space="default">Razão (nova = 1,0)</w:t>
            </w:r>
          </w:p>
        </w:tc>
      </w:tr>
      <w:tr>
        <w:trPr>
          <w:cantSplit/>
        </w:trPr>
        <w:tc>
          <w:tcPr>
            <w:tcBorders>
              <w:top w:val="single" w:space="0" w:color="D9E2F2"/>
              <w:bottom w:val="single" w:space="0" w:color="D9E2F2"/>
              <w:start w:val="single" w:space="0" w:color="929292"/>
              <w:end w:val="single" w:space="0" w:color="929292"/>
            </w:tcBorders>
            <w:shd w:val="clear" w:color="auto" w:fill="FFF3CD"/>
          </w:tcPr>
          <w:p>
            <w:pPr>
              <w:spacing w:before="0" w:after="60"/>
              <w:keepNext/>
              <w:jc w:val="start"/>
            </w:pPr>
            <w:r>
              <w:rPr>
                <w:rFonts w:ascii="Calibri" w:hAnsi="Calibri"/>
                <w:sz w:val="20"/>
                <w:b w:val="true"/>
              </w:rPr>
              <w:t xml:space="default">Fórmula atual</w:t>
            </w:r>
          </w:p>
        </w:tc>
        <w:tc>
          <w:tcPr>
            <w:tcBorders>
              <w:top w:val="single" w:space="0" w:color="D9E2F2"/>
              <w:bottom w:val="single" w:space="0" w:color="D9E2F2"/>
              <w:start w:val="single" w:space="0" w:color="929292"/>
              <w:end w:val="single" w:space="0" w:color="929292"/>
            </w:tcBorders>
            <w:shd w:val="clear" w:color="auto" w:fill="FFF3CD"/>
          </w:tcPr>
          <w:p>
            <w:pPr>
              <w:spacing w:before="0" w:after="60"/>
              <w:keepNext/>
              <w:jc w:val="end"/>
            </w:pPr>
            <w:r>
              <w:rPr>
                <w:rFonts w:ascii="Calibri" w:hAnsi="Calibri"/>
                <w:sz w:val="20"/>
                <w:b w:val="true"/>
              </w:rPr>
              <w:t xml:space="default">7.577.600</w:t>
            </w:r>
          </w:p>
        </w:tc>
        <w:tc>
          <w:tcPr>
            <w:tcBorders>
              <w:top w:val="single" w:space="0" w:color="D9E2F2"/>
              <w:bottom w:val="single" w:space="0" w:color="D9E2F2"/>
              <w:start w:val="single" w:space="0" w:color="929292"/>
              <w:end w:val="single" w:space="0" w:color="929292"/>
            </w:tcBorders>
            <w:shd w:val="clear" w:color="auto" w:fill="FFF3CD"/>
          </w:tcPr>
          <w:p>
            <w:pPr>
              <w:spacing w:before="0" w:after="60"/>
              <w:keepNext/>
              <w:jc w:val="end"/>
            </w:pPr>
            <w:r>
              <w:rPr>
                <w:rFonts w:ascii="Calibri" w:hAnsi="Calibri"/>
                <w:sz w:val="20"/>
                <w:b w:val="true"/>
              </w:rPr>
              <w:t xml:space="default">2,9</w:t>
            </w:r>
          </w:p>
        </w:tc>
      </w:tr>
      <w:tr>
        <w:trPr>
          <w:cantSplit/>
        </w:trPr>
        <w:tc>
          <w:tcPr>
            <w:tcBorders>
              <w:top w:val="single" w:space="0" w:color="D9E2F2"/>
              <w:bottom w:val="single" w:space="0" w:color="D9E2F2"/>
              <w:start w:val="single" w:space="0" w:color="929292"/>
              <w:end w:val="single" w:space="0" w:color="929292"/>
            </w:tcBorders>
            <w:shd w:val="clear" w:color="auto" w:fill="EAF7EA"/>
          </w:tcPr>
          <w:p>
            <w:pPr>
              <w:spacing w:before="0" w:after="60"/>
              <w:keepNext/>
              <w:jc w:val="start"/>
            </w:pPr>
            <w:r>
              <w:rPr>
                <w:rFonts w:ascii="Calibri" w:hAnsi="Calibri"/>
                <w:sz w:val="20"/>
                <w:b w:val="true"/>
              </w:rPr>
              <w:t xml:space="default">Nova metodologia</w:t>
            </w:r>
          </w:p>
        </w:tc>
        <w:tc>
          <w:tcPr>
            <w:tcBorders>
              <w:top w:val="single" w:space="0" w:color="D9E2F2"/>
              <w:bottom w:val="single" w:space="0" w:color="D9E2F2"/>
              <w:start w:val="single" w:space="0" w:color="929292"/>
              <w:end w:val="single" w:space="0" w:color="929292"/>
            </w:tcBorders>
            <w:shd w:val="clear" w:color="auto" w:fill="EAF7EA"/>
          </w:tcPr>
          <w:p>
            <w:pPr>
              <w:spacing w:before="0" w:after="60"/>
              <w:keepNext/>
              <w:jc w:val="end"/>
            </w:pPr>
            <w:r>
              <w:rPr>
                <w:rFonts w:ascii="Calibri" w:hAnsi="Calibri"/>
                <w:sz w:val="20"/>
                <w:b w:val="true"/>
              </w:rPr>
              <w:t xml:space="default">2.644.721</w:t>
            </w:r>
          </w:p>
        </w:tc>
        <w:tc>
          <w:tcPr>
            <w:tcBorders>
              <w:top w:val="single" w:space="0" w:color="D9E2F2"/>
              <w:bottom w:val="single" w:space="0" w:color="D9E2F2"/>
              <w:start w:val="single" w:space="0" w:color="929292"/>
              <w:end w:val="single" w:space="0" w:color="929292"/>
            </w:tcBorders>
            <w:shd w:val="clear" w:color="auto" w:fill="EAF7EA"/>
          </w:tcPr>
          <w:p>
            <w:pPr>
              <w:spacing w:before="0" w:after="60"/>
              <w:keepNext/>
              <w:jc w:val="end"/>
            </w:pPr>
            <w:r>
              <w:rPr>
                <w:rFonts w:ascii="Calibri" w:hAnsi="Calibri"/>
                <w:sz w:val="20"/>
                <w:b w:val="true"/>
              </w:rPr>
              <w:t xml:space="default">1,0</w:t>
            </w:r>
          </w:p>
        </w:tc>
      </w:tr>
    </w:tbl>
    <w:p>
      <w:pPr>
        <w:pStyle w:val="BodyText"/>
      </w:pPr>
      <w:r>
        <w:t xml:space="preserve">A fórmula atual superestima em</w:t>
      </w:r>
      <w:r>
        <w:t xml:space="preserve"> </w:t>
      </w:r>
      <w:r>
        <w:rPr>
          <w:b/>
          <w:bCs/>
        </w:rPr>
        <w:t xml:space="preserve">2,4 vezes</w:t>
      </w:r>
      <w:r>
        <w:t xml:space="preserve"> </w:t>
      </w:r>
      <w:r>
        <w:t xml:space="preserve">o resultado da nova metodologia para o mesmo orçamento. Essa diferença decorre do fato de que a fórmula atual aplica um coeficiente fixo sobre o valor total, sem considerar a composição do investimento, as tipologias envolvidas, a extensão física das obras ou a densidade populacional dos municípios beneficiados.</w:t>
      </w:r>
    </w:p>
    <w:bookmarkEnd w:id="62"/>
    <w:bookmarkEnd w:id="63"/>
    <w:bookmarkStart w:id="64" w:name="cronograma-de-implementação"/>
    <w:p>
      <w:pPr>
        <w:pStyle w:val="Heading3"/>
      </w:pPr>
      <w:r>
        <w:t xml:space="preserve">19. Cronograma de implementação</w:t>
      </w:r>
    </w:p>
    <w:tbl>
      <w:tblPr>
        <w:tblStyle w:val="Table"/>
        <w:tblW w:type="pct" w:w="4900"/>
        <w:tblLayout w:type="fixed"/>
        <w:tblLook w:firstRow="1" w:lastRow="0" w:firstColumn="0" w:lastColumn="0" w:noHBand="0" w:noVBand="0" w:val="0020"/>
      </w:tblPr>
      <w:tblGrid>
        <w:gridCol w:w="2692"/>
        <w:gridCol w:w="1742"/>
        <w:gridCol w:w="1108"/>
        <w:gridCol w:w="1108"/>
        <w:gridCol w:w="1108"/>
      </w:tblGrid>
      <w:tr>
        <w:trPr>
          <w:tblHeader w:val="on"/>
        </w:trPr>
        <w:tc>
          <w:tcPr/>
          <w:p>
            <w:pPr>
              <w:pStyle w:val="Compact"/>
              <w:jc w:val="left"/>
            </w:pPr>
            <w:r>
              <w:t xml:space="preserve">Atividade</w:t>
            </w:r>
          </w:p>
        </w:tc>
        <w:tc>
          <w:tcPr/>
          <w:p>
            <w:pPr>
              <w:pStyle w:val="Compact"/>
              <w:jc w:val="left"/>
            </w:pPr>
            <w:r>
              <w:t xml:space="preserve">Responsável</w:t>
            </w:r>
          </w:p>
        </w:tc>
        <w:tc>
          <w:tcPr/>
          <w:p>
            <w:pPr>
              <w:pStyle w:val="Compact"/>
              <w:jc w:val="center"/>
            </w:pPr>
            <w:r>
              <w:t xml:space="preserve">Abr/26</w:t>
            </w:r>
          </w:p>
        </w:tc>
        <w:tc>
          <w:tcPr/>
          <w:p>
            <w:pPr>
              <w:pStyle w:val="Compact"/>
              <w:jc w:val="center"/>
            </w:pPr>
            <w:r>
              <w:t xml:space="preserve">Mai/26</w:t>
            </w:r>
          </w:p>
        </w:tc>
        <w:tc>
          <w:tcPr/>
          <w:p>
            <w:pPr>
              <w:pStyle w:val="Compact"/>
              <w:jc w:val="center"/>
            </w:pPr>
            <w:r>
              <w:t xml:space="preserve">Jun/26</w:t>
            </w:r>
          </w:p>
        </w:tc>
      </w:tr>
      <w:tr>
        <w:tc>
          <w:tcPr/>
          <w:p>
            <w:pPr>
              <w:pStyle w:val="Compact"/>
              <w:jc w:val="left"/>
            </w:pPr>
            <w:r>
              <w:t xml:space="preserve">1. Segmentação da base por tipologia</w:t>
            </w:r>
          </w:p>
        </w:tc>
        <w:tc>
          <w:tcPr/>
          <w:p>
            <w:pPr>
              <w:pStyle w:val="Compact"/>
              <w:jc w:val="left"/>
            </w:pPr>
            <w:r>
              <w:t xml:space="preserve">CGDI (Ramson)</w:t>
            </w:r>
          </w:p>
        </w:tc>
        <w:tc>
          <w:tcPr/>
          <w:p>
            <w:pPr>
              <w:pStyle w:val="Compact"/>
              <w:jc w:val="center"/>
            </w:pPr>
            <w:r>
              <w:t xml:space="preserve">■■■</w:t>
            </w:r>
          </w:p>
        </w:tc>
        <w:tc>
          <w:tcPr/>
          <w:p>
            <w:pPr>
              <w:pStyle w:val="Compact"/>
            </w:pPr>
          </w:p>
        </w:tc>
        <w:tc>
          <w:tcPr/>
          <w:p>
            <w:pPr>
              <w:pStyle w:val="Compact"/>
            </w:pPr>
          </w:p>
        </w:tc>
      </w:tr>
      <w:tr>
        <w:tc>
          <w:tcPr/>
          <w:p>
            <w:pPr>
              <w:pStyle w:val="Compact"/>
              <w:jc w:val="left"/>
            </w:pPr>
            <w:r>
              <w:t xml:space="preserve">2. Medianas investimento/km (FC)</w:t>
            </w:r>
          </w:p>
        </w:tc>
        <w:tc>
          <w:tcPr/>
          <w:p>
            <w:pPr>
              <w:pStyle w:val="Compact"/>
              <w:jc w:val="left"/>
            </w:pPr>
            <w:r>
              <w:t xml:space="preserve">CGDI/DEMOB (Danilo/Cláudio e Eq. DEMOB)</w:t>
            </w:r>
          </w:p>
        </w:tc>
        <w:tc>
          <w:tcPr/>
          <w:p>
            <w:pPr>
              <w:pStyle w:val="Compact"/>
            </w:pPr>
          </w:p>
        </w:tc>
        <w:tc>
          <w:tcPr/>
          <w:p>
            <w:pPr>
              <w:pStyle w:val="Compact"/>
              <w:jc w:val="center"/>
            </w:pPr>
            <w:r>
              <w:t xml:space="preserve">■■■</w:t>
            </w:r>
          </w:p>
        </w:tc>
        <w:tc>
          <w:tcPr/>
          <w:p>
            <w:pPr>
              <w:pStyle w:val="Compact"/>
            </w:pPr>
          </w:p>
        </w:tc>
      </w:tr>
      <w:tr>
        <w:tc>
          <w:tcPr/>
          <w:p>
            <w:pPr>
              <w:pStyle w:val="Compact"/>
              <w:jc w:val="left"/>
            </w:pPr>
            <w:r>
              <w:t xml:space="preserve">3. Definição C</w:t>
            </w:r>
            <w:r>
              <w:rPr>
                <w:vertAlign w:val="subscript"/>
              </w:rPr>
              <w:t xml:space="preserve">unit</w:t>
            </w:r>
            <w:r>
              <w:t xml:space="preserve"> </w:t>
            </w:r>
            <w:r>
              <w:t xml:space="preserve">e B</w:t>
            </w:r>
            <w:r>
              <w:rPr>
                <w:vertAlign w:val="subscript"/>
              </w:rPr>
              <w:t xml:space="preserve">unit</w:t>
            </w:r>
            <w:r>
              <w:t xml:space="preserve"> </w:t>
            </w:r>
            <w:r>
              <w:t xml:space="preserve">(frota)</w:t>
            </w:r>
          </w:p>
        </w:tc>
        <w:tc>
          <w:tcPr/>
          <w:p>
            <w:pPr>
              <w:pStyle w:val="Compact"/>
              <w:jc w:val="left"/>
            </w:pPr>
            <w:r>
              <w:t xml:space="preserve">DEMOB (Equipe DEMOB)</w:t>
            </w:r>
          </w:p>
        </w:tc>
        <w:tc>
          <w:tcPr/>
          <w:p>
            <w:pPr>
              <w:pStyle w:val="Compact"/>
              <w:jc w:val="center"/>
            </w:pPr>
            <w:r>
              <w:t xml:space="preserve">■■■</w:t>
            </w:r>
          </w:p>
        </w:tc>
        <w:tc>
          <w:tcPr/>
          <w:p>
            <w:pPr>
              <w:pStyle w:val="Compact"/>
            </w:pPr>
          </w:p>
        </w:tc>
        <w:tc>
          <w:tcPr/>
          <w:p>
            <w:pPr>
              <w:pStyle w:val="Compact"/>
            </w:pPr>
          </w:p>
        </w:tc>
      </w:tr>
      <w:tr>
        <w:tc>
          <w:tcPr/>
          <w:p>
            <w:pPr>
              <w:pStyle w:val="Compact"/>
              <w:jc w:val="left"/>
            </w:pPr>
            <w:r>
              <w:t xml:space="preserve">4. Definição C</w:t>
            </w:r>
            <w:r>
              <w:rPr>
                <w:vertAlign w:val="subscript"/>
              </w:rPr>
              <w:t xml:space="preserve">med,mod</w:t>
            </w:r>
            <w:r>
              <w:t xml:space="preserve"> </w:t>
            </w:r>
            <w:r>
              <w:t xml:space="preserve">(regra subsidiária)</w:t>
            </w:r>
          </w:p>
        </w:tc>
        <w:tc>
          <w:tcPr/>
          <w:p>
            <w:pPr>
              <w:pStyle w:val="Compact"/>
              <w:jc w:val="left"/>
            </w:pPr>
            <w:r>
              <w:t xml:space="preserve">CGDI/DEMOB (Danilo/Cláudio e Eq. DEMOB)</w:t>
            </w:r>
          </w:p>
        </w:tc>
        <w:tc>
          <w:tcPr/>
          <w:p>
            <w:pPr>
              <w:pStyle w:val="Compact"/>
            </w:pPr>
          </w:p>
        </w:tc>
        <w:tc>
          <w:tcPr/>
          <w:p>
            <w:pPr>
              <w:pStyle w:val="Compact"/>
              <w:jc w:val="center"/>
            </w:pPr>
            <w:r>
              <w:t xml:space="preserve">■■■</w:t>
            </w:r>
          </w:p>
        </w:tc>
        <w:tc>
          <w:tcPr/>
          <w:p>
            <w:pPr>
              <w:pStyle w:val="Compact"/>
            </w:pPr>
          </w:p>
        </w:tc>
      </w:tr>
      <w:tr>
        <w:tc>
          <w:tcPr/>
          <w:p>
            <w:pPr>
              <w:pStyle w:val="Compact"/>
              <w:jc w:val="left"/>
            </w:pPr>
            <w:r>
              <w:t xml:space="preserve">5. Elaboração da calculadora — orçamento previsto</w:t>
            </w:r>
          </w:p>
        </w:tc>
        <w:tc>
          <w:tcPr/>
          <w:p>
            <w:pPr>
              <w:pStyle w:val="Compact"/>
              <w:jc w:val="left"/>
            </w:pPr>
            <w:r>
              <w:t xml:space="preserve">CGDI (Ramson)</w:t>
            </w:r>
          </w:p>
        </w:tc>
        <w:tc>
          <w:tcPr/>
          <w:p>
            <w:pPr>
              <w:pStyle w:val="Compact"/>
              <w:jc w:val="center"/>
            </w:pPr>
            <w:r>
              <w:t xml:space="preserve">■■■</w:t>
            </w:r>
          </w:p>
        </w:tc>
        <w:tc>
          <w:tcPr/>
          <w:p>
            <w:pPr>
              <w:pStyle w:val="Compact"/>
            </w:pPr>
          </w:p>
        </w:tc>
        <w:tc>
          <w:tcPr/>
          <w:p>
            <w:pPr>
              <w:pStyle w:val="Compact"/>
            </w:pPr>
          </w:p>
        </w:tc>
      </w:tr>
      <w:tr>
        <w:tc>
          <w:tcPr/>
          <w:p>
            <w:pPr>
              <w:pStyle w:val="Compact"/>
              <w:jc w:val="left"/>
            </w:pPr>
            <w:r>
              <w:t xml:space="preserve">6. Exercícios amostrais de comparação</w:t>
            </w:r>
          </w:p>
        </w:tc>
        <w:tc>
          <w:tcPr/>
          <w:p>
            <w:pPr>
              <w:pStyle w:val="Compact"/>
              <w:jc w:val="left"/>
            </w:pPr>
            <w:r>
              <w:t xml:space="preserve">CGDI/DEMOB (Equipes envolvidas)</w:t>
            </w:r>
          </w:p>
        </w:tc>
        <w:tc>
          <w:tcPr/>
          <w:p>
            <w:pPr>
              <w:pStyle w:val="Compact"/>
            </w:pPr>
          </w:p>
        </w:tc>
        <w:tc>
          <w:tcPr/>
          <w:p>
            <w:pPr>
              <w:pStyle w:val="Compact"/>
            </w:pPr>
          </w:p>
        </w:tc>
        <w:tc>
          <w:tcPr/>
          <w:p>
            <w:pPr>
              <w:pStyle w:val="Compact"/>
              <w:jc w:val="center"/>
            </w:pPr>
            <w:r>
              <w:t xml:space="preserve">■■■</w:t>
            </w:r>
          </w:p>
        </w:tc>
      </w:tr>
      <w:tr>
        <w:tc>
          <w:tcPr/>
          <w:p>
            <w:pPr>
              <w:pStyle w:val="Compact"/>
              <w:jc w:val="left"/>
            </w:pPr>
            <w:r>
              <w:t xml:space="preserve">7. Estruturação e integração no banco de dados</w:t>
            </w:r>
          </w:p>
        </w:tc>
        <w:tc>
          <w:tcPr/>
          <w:p>
            <w:pPr>
              <w:pStyle w:val="Compact"/>
              <w:jc w:val="left"/>
            </w:pPr>
            <w:r>
              <w:t xml:space="preserve">CGDI (Ramson)</w:t>
            </w:r>
          </w:p>
        </w:tc>
        <w:tc>
          <w:tcPr/>
          <w:p>
            <w:pPr>
              <w:pStyle w:val="Compact"/>
              <w:jc w:val="center"/>
            </w:pPr>
            <w:r>
              <w:t xml:space="preserve">■■■</w:t>
            </w:r>
          </w:p>
        </w:tc>
        <w:tc>
          <w:tcPr/>
          <w:p>
            <w:pPr>
              <w:pStyle w:val="Compact"/>
              <w:jc w:val="center"/>
            </w:pPr>
            <w:r>
              <w:t xml:space="preserve">■■■</w:t>
            </w:r>
          </w:p>
        </w:tc>
        <w:tc>
          <w:tcPr/>
          <w:p>
            <w:pPr>
              <w:pStyle w:val="Compact"/>
              <w:jc w:val="center"/>
            </w:pPr>
            <w:r>
              <w:t xml:space="preserve">■■■</w:t>
            </w:r>
          </w:p>
        </w:tc>
      </w:tr>
    </w:tbl>
    <w:p>
      <w:pPr>
        <w:pStyle w:val="BodyText"/>
      </w:pPr>
      <w:r>
        <w:rPr>
          <w:b/>
          <w:bCs/>
        </w:rPr>
        <w:t xml:space="preserve">Dependências:</w:t>
      </w:r>
      <w:r>
        <w:t xml:space="preserve"> </w:t>
      </w:r>
      <w:r>
        <w:t xml:space="preserve">Tarefas 2 e 4 dependem da conclusão de 1. Tarefa 3 é independente. Tarefa 5 é independente. Tarefa 6 inicia após conclusão de 2, 3 e 4.</w:t>
      </w:r>
    </w:p>
    <w:bookmarkEnd w:id="64"/>
    <w:bookmarkEnd w:id="6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9">
    <w:p>
      <w:pPr>
        <w:pStyle w:val="FootnoteText"/>
      </w:pPr>
      <w:r>
        <w:rPr>
          <w:rStyle w:val="FootnoteReference"/>
        </w:rPr>
        <w:footnoteRef/>
      </w:r>
      <w:r>
        <w:t xml:space="preserve"> </w:t>
      </w:r>
      <w:r>
        <w:t xml:space="preserve">BNDES.</w:t>
      </w:r>
      <w:r>
        <w:t xml:space="preserve"> </w:t>
      </w:r>
      <w:r>
        <w:rPr>
          <w:b/>
          <w:bCs/>
        </w:rPr>
        <w:t xml:space="preserve">Estudo Nacional de Mobilidade Urbana - ENMU: resultados parciais</w:t>
      </w:r>
      <w:r>
        <w:t xml:space="preserve">. Disponível em:</w:t>
      </w:r>
      <w:r>
        <w:t xml:space="preserve"> </w:t>
      </w:r>
      <w:hyperlink r:id="rId10">
        <w:r>
          <w:rPr>
            <w:rStyle w:val="Hyperlink"/>
          </w:rPr>
          <w:t xml:space="preserve">https://www.bndes.gov.br/wps/portal/site/home/conhecimento/pesquisaedados/estudos/bndes-fep/!ut/p/z1/fY6xjoMwDIZ3noKFMXJaobt2RB2uqo6BDbJUBtziKyRAktM9_gGl7dbFv2X93yeDCsIwCCCfYlrW8UhQGn_5io6NxhZyKNTH-TP7OhyTePMt03QnMxlnaRLvZXzYwmkBX_xseE_kK7HWnwEF_wyDSkBVRjv6c5CXuiZ7Zm0dO18tH0WyMR1Fcuo0VHFH2plI9mQHzxZDCmusjY0kWeeXZXGIC_WPm9B4V4maRGdKbnliSPixRI1iJOtbN0tEj2PFyBb6myr-AUlFXcU!/</w:t>
        </w:r>
      </w:hyperlink>
      <w:r>
        <w:t xml:space="preserve">. Acesso em: 9 maio 2026.</w:t>
      </w:r>
    </w:p>
  </w:footnote>
  <w:footnote w:id="12">
    <w:p>
      <w:pPr>
        <w:pStyle w:val="FootnoteText"/>
      </w:pPr>
      <w:r>
        <w:rPr>
          <w:rStyle w:val="FootnoteReference"/>
        </w:rPr>
        <w:footnoteRef/>
      </w:r>
      <w:r>
        <w:t xml:space="preserve"> </w:t>
      </w:r>
      <w:r>
        <w:t xml:space="preserve">O valor do investimento é utilizado subsidiariamente quando não se tem a extensão do empreendimento.</w:t>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pt-B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3" Target="media/rId13.png" /><Relationship Type="http://schemas.openxmlformats.org/officeDocument/2006/relationships/image" Id="rId26" Target="media/rId26.png" /><Relationship Type="http://schemas.openxmlformats.org/officeDocument/2006/relationships/image" Id="rId42" Target="media/rId42.png" /><Relationship Type="http://schemas.openxmlformats.org/officeDocument/2006/relationships/image" Id="rId46" Target="media/rId46.png" /><Relationship Type="http://schemas.openxmlformats.org/officeDocument/2006/relationships/hyperlink" Id="rId10" Target="https://www.bndes.gov.br/wps/portal/site/home/conhecimento/pesquisaedados/estudos/bndes-fep/!ut/p/z1/fY6xjoMwDIZ3noKFMXJaobt2RB2uqo6BDbJUBtziKyRAktM9_gGl7dbFv2X93yeDCsIwCCCfYlrW8UhQGn_5io6NxhZyKNTH-TP7OhyTePMt03QnMxlnaRLvZXzYwmkBX_xseE_kK7HWnwEF_wyDSkBVRjv6c5CXuiZ7Zm0dO18tH0WyMR1Fcuo0VHFH2plI9mQHzxZDCmusjY0kWeeXZXGIC_WPm9B4V4maRGdKbnliSPixRI1iJOtbN0tEj2PFyBb6myr-AUlFXcU!/" TargetMode="External" /><Relationship Type="http://schemas.openxmlformats.org/officeDocument/2006/relationships/hyperlink" Id="rId34" Target="media_ponderada.qmd" TargetMode="External" /></Relationships>
</file>

<file path=word/_rels/footnotes.xml.rels><?xml version="1.0" encoding="UTF-8"?><Relationships xmlns="http://schemas.openxmlformats.org/package/2006/relationships"><Relationship Type="http://schemas.openxmlformats.org/officeDocument/2006/relationships/hyperlink" Id="rId10" Target="https://www.bndes.gov.br/wps/portal/site/home/conhecimento/pesquisaedados/estudos/bndes-fep/!ut/p/z1/fY6xjoMwDIZ3noKFMXJaobt2RB2uqo6BDbJUBtziKyRAktM9_gGl7dbFv2X93yeDCsIwCCCfYlrW8UhQGn_5io6NxhZyKNTH-TP7OhyTePMt03QnMxlnaRLvZXzYwmkBX_xseE_kK7HWnwEF_wyDSkBVRjv6c5CXuiZ7Zm0dO18tH0WyMR1Fcuo0VHFH2plI9mQHzxZDCmusjY0kWeeXZXGIC_WPm9B4V4maRGdKbnliSPixRI1iJOtbN0tEj2PFyBb6myr-AUlFXcU!/" TargetMode="External" /><Relationship Type="http://schemas.openxmlformats.org/officeDocument/2006/relationships/hyperlink" Id="rId34" Target="media_ponderada.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Revisão da metodologia de cálculo da população beneficiada nas operações de crédito com recursos do FGTS — Mobilidade Urbana</dc:title>
  <dc:creator>CGDI/DEREG/SEMOB</dc:creator>
  <dc:language>pt-BR</dc:language>
  <cp:keywords/>
  <dcterms:created xsi:type="dcterms:W3CDTF">2026-05-11T22:26:48Z</dcterms:created>
  <dcterms:modified xsi:type="dcterms:W3CDTF">2026-05-11T22:26:48Z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ngines">
    <vt:lpwstr/>
  </property>
  <property fmtid="{D5CDD505-2E9C-101B-9397-08002B2CF9AE}" pid="6" name="execute">
    <vt:lpwstr/>
  </property>
  <property fmtid="{D5CDD505-2E9C-101B-9397-08002B2CF9AE}" pid="7" name="header-includes">
    <vt:lpwstr/>
  </property>
  <property fmtid="{D5CDD505-2E9C-101B-9397-08002B2CF9AE}" pid="8" name="include-after">
    <vt:lpwstr/>
  </property>
  <property fmtid="{D5CDD505-2E9C-101B-9397-08002B2CF9AE}" pid="9" name="include-before">
    <vt:lpwstr/>
  </property>
  <property fmtid="{D5CDD505-2E9C-101B-9397-08002B2CF9AE}" pid="10" name="labels">
    <vt:lpwstr/>
  </property>
  <property fmtid="{D5CDD505-2E9C-101B-9397-08002B2CF9AE}" pid="11" name="toc-title">
    <vt:lpwstr>Índice</vt:lpwstr>
  </property>
</Properties>
</file>